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487)</w:t>
      </w:r>
    </w:p>
    <w:p>
      <w:pPr>
        <w:tabs>
          <w:tab w:val="right" w:pos="9866"/>
        </w:tabs>
        <w:spacing w:before="240"/>
        <w:rPr>
          <w:rFonts w:cs="Arial"/>
          <w:caps/>
          <w:lang w:val="de-DE"/>
        </w:rPr>
      </w:pPr>
      <w:r>
        <w:rPr>
          <w:rFonts w:cs="Arial"/>
          <w:caps/>
          <w:lang w:val="de-DE"/>
        </w:rPr>
        <w:t>25. november 2020</w:t>
      </w:r>
      <w:r>
        <w:rPr>
          <w:rFonts w:cs="Arial"/>
          <w:caps/>
          <w:lang w:val="de-DE"/>
        </w:rPr>
        <w:tab/>
        <w:t>ZUR SOFORTIGEN VERÖFFENTLICHUNG</w:t>
      </w:r>
    </w:p>
    <w:p>
      <w:pPr>
        <w:spacing w:after="0" w:line="240" w:lineRule="auto"/>
        <w:rPr>
          <w:rFonts w:cs="Arial"/>
          <w:b/>
          <w:sz w:val="36"/>
          <w:szCs w:val="36"/>
          <w:lang w:val="de-DE" w:eastAsia="en-GB"/>
        </w:rPr>
      </w:pPr>
    </w:p>
    <w:p>
      <w:pPr>
        <w:pStyle w:val="Ends"/>
        <w:rPr>
          <w:sz w:val="35"/>
          <w:szCs w:val="35"/>
          <w:lang w:val="de-DE"/>
        </w:rPr>
      </w:pPr>
      <w:r>
        <w:rPr>
          <w:sz w:val="35"/>
          <w:szCs w:val="35"/>
          <w:lang w:val="de-DE"/>
        </w:rPr>
        <w:t xml:space="preserve">IQD präsentiert seine neue Atomuhr ICPT-1 </w:t>
      </w:r>
    </w:p>
    <w:p>
      <w:pPr>
        <w:rPr>
          <w:rFonts w:cstheme="minorHAnsi"/>
          <w:lang w:val="de-DE" w:eastAsia="zh-CN"/>
        </w:rPr>
      </w:pPr>
      <w:r>
        <w:rPr>
          <w:rFonts w:cstheme="minorHAnsi"/>
          <w:lang w:val="de-DE" w:eastAsia="zh-CN"/>
        </w:rPr>
        <w:t>IQD freut sich, seine neue Chip-</w:t>
      </w:r>
      <w:proofErr w:type="spellStart"/>
      <w:r>
        <w:rPr>
          <w:rFonts w:cstheme="minorHAnsi"/>
          <w:lang w:val="de-DE" w:eastAsia="zh-CN"/>
        </w:rPr>
        <w:t>Scale</w:t>
      </w:r>
      <w:proofErr w:type="spellEnd"/>
      <w:r>
        <w:rPr>
          <w:rFonts w:cstheme="minorHAnsi"/>
          <w:lang w:val="de-DE" w:eastAsia="zh-CN"/>
        </w:rPr>
        <w:t>-Atomuhr (</w:t>
      </w:r>
      <w:proofErr w:type="spellStart"/>
      <w:r>
        <w:rPr>
          <w:rFonts w:cstheme="minorHAnsi"/>
          <w:lang w:val="de-DE" w:eastAsia="zh-CN"/>
        </w:rPr>
        <w:t>chip</w:t>
      </w:r>
      <w:proofErr w:type="spellEnd"/>
      <w:r>
        <w:rPr>
          <w:rFonts w:cstheme="minorHAnsi"/>
          <w:lang w:val="de-DE" w:eastAsia="zh-CN"/>
        </w:rPr>
        <w:t xml:space="preserve"> </w:t>
      </w:r>
      <w:proofErr w:type="spellStart"/>
      <w:r>
        <w:rPr>
          <w:rFonts w:cstheme="minorHAnsi"/>
          <w:lang w:val="de-DE" w:eastAsia="zh-CN"/>
        </w:rPr>
        <w:t>scale</w:t>
      </w:r>
      <w:proofErr w:type="spellEnd"/>
      <w:r>
        <w:rPr>
          <w:rFonts w:cstheme="minorHAnsi"/>
          <w:lang w:val="de-DE" w:eastAsia="zh-CN"/>
        </w:rPr>
        <w:t xml:space="preserve"> </w:t>
      </w:r>
      <w:proofErr w:type="spellStart"/>
      <w:r>
        <w:rPr>
          <w:rFonts w:cstheme="minorHAnsi"/>
          <w:lang w:val="de-DE" w:eastAsia="zh-CN"/>
        </w:rPr>
        <w:t>atomic</w:t>
      </w:r>
      <w:proofErr w:type="spellEnd"/>
      <w:r>
        <w:rPr>
          <w:rFonts w:cstheme="minorHAnsi"/>
          <w:lang w:val="de-DE" w:eastAsia="zh-CN"/>
        </w:rPr>
        <w:t xml:space="preserve"> </w:t>
      </w:r>
      <w:proofErr w:type="spellStart"/>
      <w:r>
        <w:rPr>
          <w:rFonts w:cstheme="minorHAnsi"/>
          <w:lang w:val="de-DE" w:eastAsia="zh-CN"/>
        </w:rPr>
        <w:t>clock</w:t>
      </w:r>
      <w:proofErr w:type="spellEnd"/>
      <w:r>
        <w:rPr>
          <w:rFonts w:cstheme="minorHAnsi"/>
          <w:lang w:val="de-DE" w:eastAsia="zh-CN"/>
        </w:rPr>
        <w:t xml:space="preserve"> - CSAC), den ICPT-1, vorzustellen. Der ICPT-1 verwendet die </w:t>
      </w:r>
      <w:proofErr w:type="spellStart"/>
      <w:r>
        <w:rPr>
          <w:rFonts w:cstheme="minorHAnsi"/>
          <w:lang w:val="de-DE" w:eastAsia="zh-CN"/>
        </w:rPr>
        <w:t>Coherent</w:t>
      </w:r>
      <w:proofErr w:type="spellEnd"/>
      <w:r>
        <w:rPr>
          <w:rFonts w:cstheme="minorHAnsi"/>
          <w:lang w:val="de-DE" w:eastAsia="zh-CN"/>
        </w:rPr>
        <w:t xml:space="preserve"> Population Trap (CPT) Methode, um eine sehr stabile Frequenz zu erhalten und ist die perfekte Ergänzung zu </w:t>
      </w:r>
      <w:proofErr w:type="spellStart"/>
      <w:r>
        <w:rPr>
          <w:rFonts w:cstheme="minorHAnsi"/>
          <w:lang w:val="de-DE" w:eastAsia="zh-CN"/>
        </w:rPr>
        <w:t>IQD's</w:t>
      </w:r>
      <w:proofErr w:type="spellEnd"/>
      <w:r>
        <w:rPr>
          <w:rFonts w:cstheme="minorHAnsi"/>
          <w:lang w:val="de-DE" w:eastAsia="zh-CN"/>
        </w:rPr>
        <w:t xml:space="preserve"> Rubidium-Oszillator Portfolio.</w:t>
      </w:r>
    </w:p>
    <w:p>
      <w:pPr>
        <w:rPr>
          <w:rFonts w:cstheme="minorHAnsi"/>
          <w:lang w:val="de-DE" w:eastAsia="zh-CN"/>
        </w:rPr>
      </w:pPr>
      <w:r>
        <w:rPr>
          <w:rFonts w:cstheme="minorHAnsi"/>
          <w:lang w:val="de-DE" w:eastAsia="zh-CN"/>
        </w:rPr>
        <w:t>Während herkömmliche Rubidium-Oszillatoren den atomaren Übergang mit Hilfe einer Rubidium-Gasentladungslampe (</w:t>
      </w:r>
      <w:proofErr w:type="spellStart"/>
      <w:r>
        <w:rPr>
          <w:rFonts w:cstheme="minorHAnsi"/>
          <w:lang w:val="de-DE" w:eastAsia="zh-CN"/>
        </w:rPr>
        <w:t>Rb</w:t>
      </w:r>
      <w:proofErr w:type="spellEnd"/>
      <w:r>
        <w:rPr>
          <w:rFonts w:cstheme="minorHAnsi"/>
          <w:lang w:val="de-DE" w:eastAsia="zh-CN"/>
        </w:rPr>
        <w:t xml:space="preserve">-Lampe) detektieren, verwendet der ICPT-1 einen Laser, um Quantenübergänge zu induzieren. Ein großer Vorteil des Lasers ist eine wesentlich geringere Leistungsaufnahme. Zudem ist die Lebensdauer einer </w:t>
      </w:r>
      <w:proofErr w:type="spellStart"/>
      <w:r>
        <w:rPr>
          <w:rFonts w:cstheme="minorHAnsi"/>
          <w:lang w:val="de-DE" w:eastAsia="zh-CN"/>
        </w:rPr>
        <w:t>Rb</w:t>
      </w:r>
      <w:proofErr w:type="spellEnd"/>
      <w:r>
        <w:rPr>
          <w:rFonts w:cstheme="minorHAnsi"/>
          <w:lang w:val="de-DE" w:eastAsia="zh-CN"/>
        </w:rPr>
        <w:t xml:space="preserve">-Lampe sehr begrenzt - typischerweise etwa zehn Jahre - wobei der Laser eine viel längere Lebensdauer hat. </w:t>
      </w:r>
    </w:p>
    <w:p>
      <w:pPr>
        <w:rPr>
          <w:rFonts w:cstheme="minorHAnsi"/>
          <w:highlight w:val="yellow"/>
          <w:lang w:val="de-DE" w:eastAsia="zh-CN"/>
        </w:rPr>
      </w:pPr>
      <w:r>
        <w:rPr>
          <w:rFonts w:cstheme="minorHAnsi"/>
          <w:lang w:val="de-DE" w:eastAsia="zh-CN"/>
        </w:rPr>
        <w:t xml:space="preserve">Verwender haben die Möglichkeit, entweder ein externes 1-PPS-Signal anzuschließen oder den internen Takt für einen 1-PPS-Ausgang zur Synchronisierung in verschiedenen Anwendungen zu nutzen. Im freilaufenden Modus, der sich auf den internen Takt des ICPT-1 als Quelle des 1 PPS-Signals verlässt, bietet der ICPT-1 ein gutes </w:t>
      </w:r>
      <w:proofErr w:type="spellStart"/>
      <w:r>
        <w:rPr>
          <w:rFonts w:cstheme="minorHAnsi"/>
          <w:lang w:val="de-DE" w:eastAsia="zh-CN"/>
        </w:rPr>
        <w:t>Holdover</w:t>
      </w:r>
      <w:proofErr w:type="spellEnd"/>
      <w:r>
        <w:rPr>
          <w:rFonts w:cstheme="minorHAnsi"/>
          <w:lang w:val="de-DE" w:eastAsia="zh-CN"/>
        </w:rPr>
        <w:t xml:space="preserve">-Verhalten. Über eine serielle UART-Kommunikationsschnittstelle kann die digitale Frequenzanpassung vorgenommen und auf den optionalen 1-Sekunden-Tageszeitzähler (Time </w:t>
      </w:r>
      <w:proofErr w:type="spellStart"/>
      <w:r>
        <w:rPr>
          <w:rFonts w:cstheme="minorHAnsi"/>
          <w:lang w:val="de-DE" w:eastAsia="zh-CN"/>
        </w:rPr>
        <w:t>of</w:t>
      </w:r>
      <w:proofErr w:type="spellEnd"/>
      <w:r>
        <w:rPr>
          <w:rFonts w:cstheme="minorHAnsi"/>
          <w:lang w:val="de-DE" w:eastAsia="zh-CN"/>
        </w:rPr>
        <w:t xml:space="preserve"> Day - TOD) zugegriffen werden.</w:t>
      </w:r>
    </w:p>
    <w:p>
      <w:pPr>
        <w:rPr>
          <w:rFonts w:cs="Arial"/>
          <w:szCs w:val="20"/>
          <w:lang w:val="de-DE" w:eastAsia="zh-CN"/>
        </w:rPr>
      </w:pPr>
      <w:r>
        <w:rPr>
          <w:rFonts w:cs="Arial"/>
          <w:szCs w:val="20"/>
          <w:lang w:val="de-DE" w:eastAsia="zh-CN"/>
        </w:rPr>
        <w:t>Der in einem 36,0 x 45,0 x 14,5 mm großen Gehäuse untergebrachte ICPT-1 ist im Vergleich zu herkömmlichen Rubidium-Oszillatoren kleiner und kommt mit einer Stromaufnahme von lediglich 500 mA bei typischerweise 3,3 V aus. Mit seiner Frequenztoleranz von 0,05 ppb, seiner Kurzzeitstabilität von 0,09 ppb @ Tau = 1 s und seiner Alterung von 0,03 ppb pro Tag ist dieses Produkt mit herkömmlichen Rubidium-Produkten vergleichbar.</w:t>
      </w:r>
    </w:p>
    <w:p>
      <w:pPr>
        <w:rPr>
          <w:rFonts w:cs="Arial"/>
          <w:szCs w:val="20"/>
          <w:lang w:val="de-DE" w:eastAsia="zh-CN"/>
        </w:rPr>
      </w:pPr>
      <w:r>
        <w:rPr>
          <w:rFonts w:cs="Arial"/>
          <w:szCs w:val="20"/>
          <w:lang w:val="de-DE" w:eastAsia="zh-CN"/>
        </w:rPr>
        <w:t>Das Produkt eignet sich unter anderem ideal für die Synchronisierung oder als Referenzuhr in den folgenden Anwendungen: satellitengestützte und sichere Kommunikation, Navigationssysteme sowie zeitkritische Finanz-, Versorgungs-, Sicherheits- und Kommunikationsanwendungen.</w:t>
      </w:r>
    </w:p>
    <w:p>
      <w:pPr>
        <w:pStyle w:val="Ends"/>
        <w:jc w:val="left"/>
        <w:rPr>
          <w:rFonts w:cstheme="minorHAnsi"/>
          <w:b w:val="0"/>
          <w:sz w:val="20"/>
          <w:lang w:val="de-DE"/>
        </w:rPr>
      </w:pPr>
      <w:r>
        <w:rPr>
          <w:rFonts w:cstheme="minorHAnsi"/>
          <w:b w:val="0"/>
          <w:sz w:val="20"/>
          <w:lang w:val="de-DE"/>
        </w:rPr>
        <w:t xml:space="preserve">Ausführliche Informationen über den ICPT-1 finden Sie unter </w:t>
      </w:r>
      <w:hyperlink r:id="rId8" w:history="1">
        <w:r>
          <w:rPr>
            <w:rStyle w:val="Hyperlink"/>
            <w:rFonts w:cstheme="minorHAnsi"/>
            <w:b w:val="0"/>
            <w:sz w:val="20"/>
            <w:lang w:val="de-DE"/>
          </w:rPr>
          <w:t>www.iqdfrequencyproducts.com</w:t>
        </w:r>
      </w:hyperlink>
      <w:r>
        <w:rPr>
          <w:rFonts w:cstheme="minorHAnsi"/>
          <w:b w:val="0"/>
          <w:sz w:val="20"/>
          <w:lang w:val="de-DE"/>
        </w:rPr>
        <w:t xml:space="preserve"> oder sprechen Sie mit einem Mitglied unseres Verkaufs- oder Applikationsteams.</w:t>
      </w:r>
    </w:p>
    <w:p>
      <w:pPr>
        <w:pStyle w:val="Ends"/>
        <w:rPr>
          <w:lang w:val="de-DE"/>
        </w:rPr>
      </w:pPr>
      <w:bookmarkStart w:id="0" w:name="_GoBack"/>
      <w:bookmarkEnd w:id="0"/>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9" w:history="1">
        <w:r>
          <w:rPr>
            <w:rStyle w:val="Hyperlink"/>
            <w:rFonts w:cs="Arial"/>
            <w:sz w:val="18"/>
            <w:szCs w:val="18"/>
            <w:lang w:val="de-DE"/>
          </w:rPr>
          <w:t>Quarzkristalle</w:t>
        </w:r>
      </w:hyperlink>
      <w:r>
        <w:rPr>
          <w:rFonts w:cs="Arial"/>
          <w:sz w:val="18"/>
          <w:szCs w:val="18"/>
          <w:lang w:val="de-DE"/>
        </w:rPr>
        <w:t xml:space="preserve">, </w:t>
      </w:r>
      <w:hyperlink r:id="rId10" w:history="1">
        <w:r>
          <w:rPr>
            <w:rStyle w:val="Hyperlink"/>
            <w:rFonts w:cs="Arial"/>
            <w:sz w:val="18"/>
            <w:szCs w:val="18"/>
            <w:lang w:val="de-DE"/>
          </w:rPr>
          <w:t>Taktoszillatoren</w:t>
        </w:r>
      </w:hyperlink>
      <w:r>
        <w:rPr>
          <w:rFonts w:cs="Arial"/>
          <w:sz w:val="18"/>
          <w:szCs w:val="18"/>
          <w:lang w:val="de-DE"/>
        </w:rPr>
        <w:t xml:space="preserve">, AEC-Q200 </w:t>
      </w:r>
      <w:hyperlink r:id="rId11" w:history="1">
        <w:r>
          <w:rPr>
            <w:rStyle w:val="Hyperlink"/>
            <w:rFonts w:cs="Arial"/>
            <w:sz w:val="18"/>
            <w:szCs w:val="18"/>
            <w:lang w:val="de-DE"/>
          </w:rPr>
          <w:t>Quarze</w:t>
        </w:r>
      </w:hyperlink>
      <w:r>
        <w:rPr>
          <w:rFonts w:cs="Arial"/>
          <w:sz w:val="18"/>
          <w:szCs w:val="18"/>
          <w:lang w:val="de-DE"/>
        </w:rPr>
        <w:t xml:space="preserve"> &amp; </w:t>
      </w:r>
      <w:hyperlink r:id="rId12" w:history="1">
        <w:r>
          <w:rPr>
            <w:rStyle w:val="Hyperlink"/>
            <w:rFonts w:cs="Arial"/>
            <w:sz w:val="18"/>
            <w:szCs w:val="18"/>
            <w:lang w:val="de-DE"/>
          </w:rPr>
          <w:t>Oszillatoren</w:t>
        </w:r>
      </w:hyperlink>
      <w:r>
        <w:rPr>
          <w:rFonts w:cs="Arial"/>
          <w:sz w:val="18"/>
          <w:szCs w:val="18"/>
          <w:lang w:val="de-DE"/>
        </w:rPr>
        <w:t xml:space="preserve">, </w:t>
      </w:r>
      <w:hyperlink r:id="rId13" w:history="1">
        <w:r>
          <w:rPr>
            <w:rStyle w:val="Hyperlink"/>
            <w:rFonts w:cs="Arial"/>
            <w:sz w:val="18"/>
            <w:szCs w:val="18"/>
            <w:lang w:val="de-DE"/>
          </w:rPr>
          <w:t>VCXOs</w:t>
        </w:r>
      </w:hyperlink>
      <w:r>
        <w:rPr>
          <w:rFonts w:cs="Arial"/>
          <w:sz w:val="18"/>
          <w:szCs w:val="18"/>
          <w:lang w:val="de-DE"/>
        </w:rPr>
        <w:t xml:space="preserve">, </w:t>
      </w:r>
      <w:hyperlink r:id="rId14" w:history="1">
        <w:r>
          <w:rPr>
            <w:rStyle w:val="Hyperlink"/>
            <w:rFonts w:cs="Arial"/>
            <w:sz w:val="18"/>
            <w:szCs w:val="18"/>
            <w:lang w:val="de-DE"/>
          </w:rPr>
          <w:t>TCXOs</w:t>
        </w:r>
      </w:hyperlink>
      <w:r>
        <w:rPr>
          <w:rFonts w:cs="Arial"/>
          <w:sz w:val="18"/>
          <w:szCs w:val="18"/>
          <w:lang w:val="de-DE"/>
        </w:rPr>
        <w:t xml:space="preserve">, </w:t>
      </w:r>
      <w:hyperlink r:id="rId15" w:history="1">
        <w:r>
          <w:rPr>
            <w:rStyle w:val="Hyperlink"/>
            <w:rFonts w:cs="Arial"/>
            <w:sz w:val="18"/>
            <w:szCs w:val="18"/>
            <w:lang w:val="de-DE"/>
          </w:rPr>
          <w:t>OCXOs</w:t>
        </w:r>
      </w:hyperlink>
      <w:r>
        <w:rPr>
          <w:rFonts w:cs="Arial"/>
          <w:sz w:val="18"/>
          <w:szCs w:val="18"/>
          <w:lang w:val="de-DE"/>
        </w:rPr>
        <w:t xml:space="preserve">, mit </w:t>
      </w:r>
      <w:hyperlink r:id="rId16"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7"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w:t>
      </w:r>
      <w:r>
        <w:rPr>
          <w:rFonts w:cs="Arial"/>
          <w:sz w:val="18"/>
          <w:szCs w:val="18"/>
          <w:lang w:val="de-DE"/>
        </w:rPr>
        <w:lastRenderedPageBreak/>
        <w:t xml:space="preserve">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8"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9"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20"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1" w:history="1">
        <w:r>
          <w:rPr>
            <w:rStyle w:val="Hyperlink"/>
            <w:rFonts w:cs="Arial"/>
            <w:sz w:val="18"/>
            <w:szCs w:val="18"/>
            <w:lang w:val="en-US"/>
          </w:rPr>
          <w:t>rebecca.long@iqdfrequencyproducts.com</w:t>
        </w:r>
      </w:hyperlink>
      <w:r>
        <w:rPr>
          <w:rFonts w:cs="Arial"/>
          <w:sz w:val="18"/>
          <w:szCs w:val="18"/>
          <w:lang w:val="en-US"/>
        </w:rPr>
        <w:br/>
        <w:t xml:space="preserve">W: </w:t>
      </w:r>
      <w:hyperlink r:id="rId22"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4"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6"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8"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30"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K99X8U"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nfeG2b" TargetMode="External"/><Relationship Id="rId17" Type="http://schemas.openxmlformats.org/officeDocument/2006/relationships/hyperlink" Target="https://goo.gl/JdgBN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s://goo.gl/gQqvn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8cHFC5"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0CAE-E552-49F1-BB21-CBF7345D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5025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2020-11-17T08:42:00Z</dcterms:created>
  <dcterms:modified xsi:type="dcterms:W3CDTF">2020-11-17T08:42:00Z</dcterms:modified>
</cp:coreProperties>
</file>