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contextualSpacing/>
        <w:rPr>
          <w:rFonts w:cs="Arial"/>
          <w:color w:val="006BB6"/>
          <w:sz w:val="52"/>
          <w:lang w:val="de-DE"/>
        </w:rPr>
      </w:pPr>
      <w:r>
        <w:rPr>
          <w:rFonts w:cs="Arial"/>
          <w:color w:val="006BB6"/>
          <w:sz w:val="52"/>
          <w:lang w:val="de-DE"/>
        </w:rPr>
        <w:t xml:space="preserve">PRESSEINFORMATION </w:t>
      </w:r>
      <w:r>
        <w:rPr>
          <w:rFonts w:cs="Arial"/>
          <w:color w:val="006BB6"/>
          <w:sz w:val="28"/>
          <w:szCs w:val="28"/>
          <w:lang w:val="de-DE"/>
        </w:rPr>
        <w:t>(No. 486)</w:t>
      </w:r>
    </w:p>
    <w:p>
      <w:pPr>
        <w:tabs>
          <w:tab w:val="right" w:pos="9866"/>
        </w:tabs>
        <w:spacing w:before="240"/>
        <w:rPr>
          <w:rFonts w:cs="Arial"/>
          <w:caps/>
          <w:lang w:val="de-DE"/>
        </w:rPr>
      </w:pPr>
      <w:r>
        <w:rPr>
          <w:rFonts w:cs="Arial"/>
          <w:caps/>
          <w:lang w:val="de-DE"/>
        </w:rPr>
        <w:t>10. november 2020</w:t>
      </w:r>
      <w:r>
        <w:rPr>
          <w:rFonts w:cs="Arial"/>
          <w:caps/>
          <w:lang w:val="de-DE"/>
        </w:rPr>
        <w:tab/>
        <w:t>ZUR SOFORTIGEN VERÖFFENTLICHUNG</w:t>
      </w:r>
    </w:p>
    <w:p>
      <w:pPr>
        <w:spacing w:after="0" w:line="240" w:lineRule="auto"/>
        <w:rPr>
          <w:rFonts w:cs="Arial"/>
          <w:b/>
          <w:sz w:val="36"/>
          <w:szCs w:val="36"/>
          <w:lang w:val="de-DE" w:eastAsia="en-GB"/>
        </w:rPr>
      </w:pPr>
    </w:p>
    <w:p>
      <w:pPr>
        <w:pStyle w:val="Ends"/>
        <w:rPr>
          <w:sz w:val="35"/>
          <w:szCs w:val="35"/>
          <w:lang w:val="de-DE"/>
        </w:rPr>
      </w:pPr>
      <w:r>
        <w:rPr>
          <w:sz w:val="35"/>
          <w:szCs w:val="35"/>
          <w:lang w:val="de-DE"/>
        </w:rPr>
        <w:t>Neuer hochstabiler Standardoszillator mit variabler Versorg</w:t>
      </w:r>
      <w:bookmarkStart w:id="0" w:name="_GoBack"/>
      <w:bookmarkEnd w:id="0"/>
      <w:r>
        <w:rPr>
          <w:sz w:val="35"/>
          <w:szCs w:val="35"/>
          <w:lang w:val="de-DE"/>
        </w:rPr>
        <w:t>ungsspannung</w:t>
      </w:r>
    </w:p>
    <w:p>
      <w:pPr>
        <w:rPr>
          <w:rFonts w:cstheme="minorHAnsi"/>
          <w:lang w:val="de-DE" w:eastAsia="zh-CN"/>
        </w:rPr>
      </w:pPr>
      <w:r>
        <w:rPr>
          <w:rFonts w:cstheme="minorHAnsi"/>
          <w:lang w:val="de-DE" w:eastAsia="zh-CN"/>
        </w:rPr>
        <w:t xml:space="preserve">IQD freut sich über die Markteinführung eines hochstabilen Taktoszillators mit variable Versorgungsspannung im Bereich von 1,6 V bis 3,3 V. Der IQXO-951 25TS liefert eine Frequenzstabilität von bis zu </w:t>
      </w:r>
      <w:r>
        <w:rPr>
          <w:rFonts w:cs="Arial"/>
          <w:lang w:val="de-DE" w:eastAsia="zh-CN"/>
        </w:rPr>
        <w:t>±</w:t>
      </w:r>
      <w:r>
        <w:rPr>
          <w:rFonts w:cstheme="minorHAnsi"/>
          <w:lang w:val="de-DE" w:eastAsia="zh-CN"/>
        </w:rPr>
        <w:t xml:space="preserve">5 ppm über den industriellen Temperaturbereich von -40 bis 85 °C. </w:t>
      </w:r>
    </w:p>
    <w:p>
      <w:pPr>
        <w:rPr>
          <w:rFonts w:cstheme="minorHAnsi"/>
          <w:lang w:val="de-DE" w:eastAsia="zh-CN"/>
        </w:rPr>
      </w:pPr>
      <w:r>
        <w:rPr>
          <w:rFonts w:cstheme="minorHAnsi"/>
          <w:lang w:val="de-DE" w:eastAsia="zh-CN"/>
        </w:rPr>
        <w:t>In einem 2.5 x 2.0 mm Standardgehäuse ist der Oszillator bestens für die meisten batteriebetriebenen Anwendungen geeignet. Zu den gängigen Märkten für diese Anwendungen gehören unter anderem Internet der Dinge (</w:t>
      </w:r>
      <w:proofErr w:type="spellStart"/>
      <w:r>
        <w:rPr>
          <w:rFonts w:cstheme="minorHAnsi"/>
          <w:lang w:val="de-DE" w:eastAsia="zh-CN"/>
        </w:rPr>
        <w:t>IoT</w:t>
      </w:r>
      <w:proofErr w:type="spellEnd"/>
      <w:r>
        <w:rPr>
          <w:rFonts w:cstheme="minorHAnsi"/>
          <w:lang w:val="de-DE" w:eastAsia="zh-CN"/>
        </w:rPr>
        <w:t xml:space="preserve">), Kommunikation und Medizin. </w:t>
      </w:r>
    </w:p>
    <w:p>
      <w:pPr>
        <w:pStyle w:val="Ends"/>
        <w:jc w:val="left"/>
        <w:rPr>
          <w:rFonts w:cstheme="minorHAnsi"/>
          <w:b w:val="0"/>
          <w:sz w:val="20"/>
          <w:lang w:val="de-DE"/>
        </w:rPr>
      </w:pPr>
      <w:r>
        <w:rPr>
          <w:rFonts w:cstheme="minorHAnsi"/>
          <w:b w:val="0"/>
          <w:sz w:val="20"/>
          <w:lang w:val="de-DE"/>
        </w:rPr>
        <w:t xml:space="preserve">Mehr Informationen zum IQXO-951 25TS finden Sie auf </w:t>
      </w:r>
      <w:hyperlink r:id="rId8" w:history="1">
        <w:r>
          <w:rPr>
            <w:rStyle w:val="Hyperlink"/>
            <w:rFonts w:cstheme="minorHAnsi"/>
            <w:b w:val="0"/>
            <w:sz w:val="20"/>
            <w:lang w:val="de-DE"/>
          </w:rPr>
          <w:t>www.iqdfrequencyproducts.com</w:t>
        </w:r>
      </w:hyperlink>
      <w:r>
        <w:rPr>
          <w:rFonts w:cstheme="minorHAnsi"/>
          <w:b w:val="0"/>
          <w:sz w:val="20"/>
          <w:lang w:val="de-DE"/>
        </w:rPr>
        <w:t>. Für weitere Fragen können Sie sich gerne jederzeit an unser Vertriebs- und Supportteam wenden.</w:t>
      </w:r>
    </w:p>
    <w:p>
      <w:pPr>
        <w:pStyle w:val="Ends"/>
        <w:rPr>
          <w:lang w:val="de-DE"/>
        </w:rPr>
      </w:pPr>
      <w:r>
        <w:rPr>
          <w:lang w:val="de-DE"/>
        </w:rPr>
        <w:t>###</w:t>
      </w:r>
    </w:p>
    <w:p>
      <w:pPr>
        <w:pStyle w:val="Ends"/>
        <w:spacing w:after="0"/>
        <w:jc w:val="left"/>
        <w:rPr>
          <w:lang w:val="de-DE"/>
        </w:rPr>
      </w:pPr>
      <w:r>
        <w:rPr>
          <w:sz w:val="18"/>
          <w:szCs w:val="18"/>
          <w:lang w:val="de-DE"/>
        </w:rPr>
        <w:t>Hinweise für Redakteure:</w:t>
      </w:r>
    </w:p>
    <w:p>
      <w:pPr>
        <w:pStyle w:val="PressReleaseNotes"/>
        <w:spacing w:after="0"/>
        <w:rPr>
          <w:rStyle w:val="Hyperlink"/>
          <w:rFonts w:cs="Arial"/>
          <w:sz w:val="18"/>
          <w:szCs w:val="18"/>
          <w:lang w:val="de-DE"/>
        </w:rPr>
      </w:pPr>
      <w:r>
        <w:rPr>
          <w:rFonts w:cs="Arial"/>
          <w:sz w:val="18"/>
          <w:szCs w:val="18"/>
          <w:lang w:val="de-DE"/>
        </w:rPr>
        <w:t xml:space="preserve">Gestützt auf eine über 40-jährige Erfahrung in der Fertigung von Frequenzprodukten, ist IQD ein anerkannter Marktführer im Bereich Frequenzsteuerung und ein Teil der </w:t>
      </w:r>
      <w:r>
        <w:rPr>
          <w:sz w:val="18"/>
          <w:szCs w:val="18"/>
          <w:lang w:val="de-DE"/>
        </w:rPr>
        <w:t>Würth Elektronik eiSos Group, einem der führenden europäischen Hersteller von passiven Bauelementen</w:t>
      </w:r>
      <w:r>
        <w:rPr>
          <w:rFonts w:cs="Arial"/>
          <w:sz w:val="18"/>
          <w:szCs w:val="18"/>
          <w:lang w:val="de-DE"/>
        </w:rPr>
        <w:t xml:space="preserve">. Mit aktiven Kunden in mehr als 80 Ländern bietet IQD eines der umfassendsten Sortimente an verfügbaren Frequenzprodukten, von preisgünstigen kommerziellen Produkten bis hin zu Ausführungen zum Einsatz in hochzuverlässigen industriellen Automotive-Anwendungen, darunter: </w:t>
      </w:r>
      <w:hyperlink r:id="rId9" w:history="1">
        <w:r>
          <w:rPr>
            <w:rStyle w:val="Hyperlink"/>
            <w:rFonts w:cs="Arial"/>
            <w:sz w:val="18"/>
            <w:szCs w:val="18"/>
            <w:lang w:val="de-DE"/>
          </w:rPr>
          <w:t>Quarzkristalle</w:t>
        </w:r>
      </w:hyperlink>
      <w:r>
        <w:rPr>
          <w:rFonts w:cs="Arial"/>
          <w:sz w:val="18"/>
          <w:szCs w:val="18"/>
          <w:lang w:val="de-DE"/>
        </w:rPr>
        <w:t xml:space="preserve">, </w:t>
      </w:r>
      <w:hyperlink r:id="rId10" w:history="1">
        <w:r>
          <w:rPr>
            <w:rStyle w:val="Hyperlink"/>
            <w:rFonts w:cs="Arial"/>
            <w:sz w:val="18"/>
            <w:szCs w:val="18"/>
            <w:lang w:val="de-DE"/>
          </w:rPr>
          <w:t>Taktoszillatoren</w:t>
        </w:r>
      </w:hyperlink>
      <w:r>
        <w:rPr>
          <w:rFonts w:cs="Arial"/>
          <w:sz w:val="18"/>
          <w:szCs w:val="18"/>
          <w:lang w:val="de-DE"/>
        </w:rPr>
        <w:t xml:space="preserve">, AEC-Q200 </w:t>
      </w:r>
      <w:hyperlink r:id="rId11" w:history="1">
        <w:r>
          <w:rPr>
            <w:rStyle w:val="Hyperlink"/>
            <w:rFonts w:cs="Arial"/>
            <w:sz w:val="18"/>
            <w:szCs w:val="18"/>
            <w:lang w:val="de-DE"/>
          </w:rPr>
          <w:t>Quarze</w:t>
        </w:r>
      </w:hyperlink>
      <w:r>
        <w:rPr>
          <w:rFonts w:cs="Arial"/>
          <w:sz w:val="18"/>
          <w:szCs w:val="18"/>
          <w:lang w:val="de-DE"/>
        </w:rPr>
        <w:t xml:space="preserve"> &amp; </w:t>
      </w:r>
      <w:hyperlink r:id="rId12" w:history="1">
        <w:r>
          <w:rPr>
            <w:rStyle w:val="Hyperlink"/>
            <w:rFonts w:cs="Arial"/>
            <w:sz w:val="18"/>
            <w:szCs w:val="18"/>
            <w:lang w:val="de-DE"/>
          </w:rPr>
          <w:t>Oszillatoren</w:t>
        </w:r>
      </w:hyperlink>
      <w:r>
        <w:rPr>
          <w:rFonts w:cs="Arial"/>
          <w:sz w:val="18"/>
          <w:szCs w:val="18"/>
          <w:lang w:val="de-DE"/>
        </w:rPr>
        <w:t xml:space="preserve">, </w:t>
      </w:r>
      <w:hyperlink r:id="rId13" w:history="1">
        <w:r>
          <w:rPr>
            <w:rStyle w:val="Hyperlink"/>
            <w:rFonts w:cs="Arial"/>
            <w:sz w:val="18"/>
            <w:szCs w:val="18"/>
            <w:lang w:val="de-DE"/>
          </w:rPr>
          <w:t>VCXOs</w:t>
        </w:r>
      </w:hyperlink>
      <w:r>
        <w:rPr>
          <w:rFonts w:cs="Arial"/>
          <w:sz w:val="18"/>
          <w:szCs w:val="18"/>
          <w:lang w:val="de-DE"/>
        </w:rPr>
        <w:t xml:space="preserve">, </w:t>
      </w:r>
      <w:hyperlink r:id="rId14" w:history="1">
        <w:r>
          <w:rPr>
            <w:rStyle w:val="Hyperlink"/>
            <w:rFonts w:cs="Arial"/>
            <w:sz w:val="18"/>
            <w:szCs w:val="18"/>
            <w:lang w:val="de-DE"/>
          </w:rPr>
          <w:t>TCXOs</w:t>
        </w:r>
      </w:hyperlink>
      <w:r>
        <w:rPr>
          <w:rFonts w:cs="Arial"/>
          <w:sz w:val="18"/>
          <w:szCs w:val="18"/>
          <w:lang w:val="de-DE"/>
        </w:rPr>
        <w:t xml:space="preserve">, </w:t>
      </w:r>
      <w:hyperlink r:id="rId15" w:history="1">
        <w:r>
          <w:rPr>
            <w:rStyle w:val="Hyperlink"/>
            <w:rFonts w:cs="Arial"/>
            <w:sz w:val="18"/>
            <w:szCs w:val="18"/>
            <w:lang w:val="de-DE"/>
          </w:rPr>
          <w:t>OCXOs</w:t>
        </w:r>
      </w:hyperlink>
      <w:r>
        <w:rPr>
          <w:rFonts w:cs="Arial"/>
          <w:sz w:val="18"/>
          <w:szCs w:val="18"/>
          <w:lang w:val="de-DE"/>
        </w:rPr>
        <w:t xml:space="preserve">, mit </w:t>
      </w:r>
      <w:hyperlink r:id="rId16" w:history="1">
        <w:r>
          <w:rPr>
            <w:rStyle w:val="Hyperlink"/>
            <w:rFonts w:cs="Arial"/>
            <w:sz w:val="18"/>
            <w:szCs w:val="18"/>
            <w:lang w:val="de-DE"/>
          </w:rPr>
          <w:t>GPS synchronisierte OCXOs</w:t>
        </w:r>
      </w:hyperlink>
      <w:r>
        <w:rPr>
          <w:rStyle w:val="Hyperlink"/>
          <w:rFonts w:cs="Arial"/>
          <w:i/>
          <w:sz w:val="18"/>
          <w:szCs w:val="18"/>
          <w:lang w:val="de-DE"/>
        </w:rPr>
        <w:t xml:space="preserve"> </w:t>
      </w:r>
      <w:r>
        <w:rPr>
          <w:rFonts w:cs="Arial"/>
          <w:sz w:val="18"/>
          <w:szCs w:val="18"/>
          <w:lang w:val="de-DE"/>
        </w:rPr>
        <w:t xml:space="preserve">sowie </w:t>
      </w:r>
      <w:hyperlink r:id="rId17" w:history="1">
        <w:r>
          <w:rPr>
            <w:rStyle w:val="Hyperlink"/>
            <w:rFonts w:cs="Arial"/>
            <w:sz w:val="18"/>
            <w:szCs w:val="18"/>
            <w:lang w:val="de-DE"/>
          </w:rPr>
          <w:t>Rubidium-Oszillatoren</w:t>
        </w:r>
      </w:hyperlink>
      <w:r>
        <w:rPr>
          <w:rFonts w:cs="Arial"/>
          <w:sz w:val="18"/>
          <w:szCs w:val="18"/>
          <w:lang w:val="de-DE"/>
        </w:rPr>
        <w:t>.</w:t>
      </w:r>
      <w:r>
        <w:rPr>
          <w:rStyle w:val="Hyperlink"/>
          <w:rFonts w:cs="Arial"/>
          <w:sz w:val="18"/>
          <w:szCs w:val="18"/>
          <w:lang w:val="de-DE"/>
        </w:rPr>
        <w:t xml:space="preserve"> </w:t>
      </w:r>
    </w:p>
    <w:p>
      <w:pPr>
        <w:pStyle w:val="PressReleaseNotes"/>
        <w:spacing w:after="0"/>
        <w:rPr>
          <w:rFonts w:cs="Arial"/>
          <w:sz w:val="18"/>
          <w:szCs w:val="18"/>
          <w:lang w:val="de-DE"/>
        </w:rPr>
      </w:pPr>
      <w:r>
        <w:rPr>
          <w:rFonts w:cs="Arial"/>
          <w:sz w:val="18"/>
          <w:szCs w:val="18"/>
          <w:lang w:val="de-DE"/>
        </w:rPr>
        <w:t xml:space="preserve">    </w:t>
      </w:r>
    </w:p>
    <w:p>
      <w:pPr>
        <w:pStyle w:val="PressReleaseNotes"/>
        <w:rPr>
          <w:rFonts w:cs="Arial"/>
          <w:sz w:val="18"/>
          <w:szCs w:val="18"/>
          <w:lang w:val="de-DE"/>
        </w:rPr>
      </w:pPr>
      <w:r>
        <w:rPr>
          <w:rFonts w:cs="Arial"/>
          <w:sz w:val="18"/>
          <w:szCs w:val="18"/>
          <w:lang w:val="de-DE"/>
        </w:rPr>
        <w:t xml:space="preserve">Die Fertigungskapazität liegt bei insgesamt mehr als 40 Millionen Einheiten pro Monat, wobei Liefermengen von speziellen Einzelanfertigungen bis hin zu Mehrmillionen-Aufträgen enthalten sind. Darüber hinaus bietet IQD seinen Kunden ein breites Spektrum an Ingenieur-Support-Services einschließlich Anwendungsunterstützung, kundenspezifischer Produktentwicklung, Musterentwicklung, elektrischem Testen &amp; Screening, Frequenz-/Temperaturtests, beschleunigtem Altern, Schaltungs-Charakterisierung sowie MTIE/TDEV-Tests. IQD-Produkte sind durch führende Hersteller in den Branchen Luft- und Raumfahrt, Kraftfahrzeugtechnik, Kommunikation, Computer, Konsumer und Industrie, auf der ganzen Welt spezifiziert. Unsere gesamte Produktpalette ist direkt über unsere </w:t>
      </w:r>
      <w:hyperlink r:id="rId18" w:history="1">
        <w:r>
          <w:rPr>
            <w:rStyle w:val="Hyperlink"/>
            <w:rFonts w:cs="Arial"/>
            <w:sz w:val="18"/>
            <w:szCs w:val="18"/>
            <w:lang w:val="de-DE"/>
          </w:rPr>
          <w:t>Vertriebsbüros</w:t>
        </w:r>
      </w:hyperlink>
      <w:r>
        <w:rPr>
          <w:rFonts w:cs="Arial"/>
          <w:sz w:val="18"/>
          <w:szCs w:val="18"/>
          <w:lang w:val="de-DE"/>
        </w:rPr>
        <w:t xml:space="preserve"> oder über unser umfangreiches weltweites </w:t>
      </w:r>
      <w:hyperlink r:id="rId19" w:history="1">
        <w:r>
          <w:rPr>
            <w:rStyle w:val="Hyperlink"/>
            <w:sz w:val="18"/>
            <w:lang w:val="de-DE" w:eastAsia="zh-TW"/>
          </w:rPr>
          <w:t>Vertriebsnetz erhältlich</w:t>
        </w:r>
      </w:hyperlink>
      <w:r>
        <w:rPr>
          <w:sz w:val="18"/>
          <w:lang w:val="de-DE" w:eastAsia="zh-TW"/>
        </w:rPr>
        <w:t xml:space="preserve">. </w:t>
      </w:r>
      <w:r>
        <w:rPr>
          <w:rFonts w:cs="Arial"/>
          <w:sz w:val="18"/>
          <w:szCs w:val="18"/>
          <w:lang w:val="de-DE"/>
        </w:rPr>
        <w:t xml:space="preserve">erhältlich. Zu weiteren Informationen besuchen Sie </w:t>
      </w:r>
      <w:hyperlink r:id="rId20" w:history="1">
        <w:r>
          <w:rPr>
            <w:rStyle w:val="Hyperlink"/>
            <w:rFonts w:cs="Arial"/>
            <w:sz w:val="18"/>
            <w:szCs w:val="18"/>
            <w:lang w:val="de-DE"/>
          </w:rPr>
          <w:t>www.iqdfrequencyproducts.de</w:t>
        </w:r>
      </w:hyperlink>
      <w:r>
        <w:rPr>
          <w:rFonts w:cs="Arial"/>
          <w:sz w:val="18"/>
          <w:szCs w:val="18"/>
          <w:lang w:val="de-DE"/>
        </w:rPr>
        <w:t>.</w:t>
      </w:r>
    </w:p>
    <w:p>
      <w:pPr>
        <w:pStyle w:val="PressReleaseNotes"/>
        <w:rPr>
          <w:rFonts w:cs="Arial"/>
          <w:sz w:val="18"/>
          <w:szCs w:val="18"/>
          <w:lang w:val="de-DE"/>
        </w:rPr>
      </w:pPr>
    </w:p>
    <w:p>
      <w:pPr>
        <w:pStyle w:val="PressReleaseNotesFurtherInformation"/>
        <w:rPr>
          <w:rFonts w:cs="Arial"/>
          <w:sz w:val="18"/>
          <w:szCs w:val="18"/>
          <w:lang w:val="de-DE"/>
        </w:rPr>
      </w:pPr>
      <w:r>
        <w:rPr>
          <w:rFonts w:cs="Arial"/>
          <w:sz w:val="18"/>
          <w:szCs w:val="18"/>
          <w:lang w:val="de-DE"/>
        </w:rPr>
        <w:t xml:space="preserve">Weitere Informationen: </w:t>
      </w:r>
    </w:p>
    <w:p>
      <w:pPr>
        <w:pStyle w:val="PressReleaseNotes"/>
        <w:rPr>
          <w:rFonts w:cs="Arial"/>
          <w:sz w:val="18"/>
          <w:szCs w:val="18"/>
          <w:lang w:val="en-US"/>
        </w:rPr>
      </w:pPr>
      <w:r>
        <w:rPr>
          <w:rFonts w:cs="Arial"/>
          <w:sz w:val="18"/>
          <w:szCs w:val="18"/>
          <w:lang w:val="en-US"/>
        </w:rPr>
        <w:t>Becky Long</w:t>
      </w:r>
      <w:r>
        <w:rPr>
          <w:rFonts w:cs="Arial"/>
          <w:sz w:val="18"/>
          <w:szCs w:val="18"/>
          <w:lang w:val="en-US"/>
        </w:rPr>
        <w:br/>
        <w:t>IQD Frequency Products Ltd</w:t>
      </w:r>
      <w:r>
        <w:rPr>
          <w:rFonts w:cs="Arial"/>
          <w:sz w:val="18"/>
          <w:szCs w:val="18"/>
          <w:lang w:val="en-US"/>
        </w:rPr>
        <w:br/>
        <w:t>T: +44 (0)1460 270270</w:t>
      </w:r>
      <w:r>
        <w:rPr>
          <w:rFonts w:cs="Arial"/>
          <w:sz w:val="18"/>
          <w:szCs w:val="18"/>
          <w:lang w:val="en-US"/>
        </w:rPr>
        <w:br/>
        <w:t xml:space="preserve">E: </w:t>
      </w:r>
      <w:hyperlink r:id="rId21" w:history="1">
        <w:r>
          <w:rPr>
            <w:rStyle w:val="Hyperlink"/>
            <w:rFonts w:cs="Arial"/>
            <w:sz w:val="18"/>
            <w:szCs w:val="18"/>
            <w:lang w:val="en-US"/>
          </w:rPr>
          <w:t>rebecca.long@iqdfrequencyproducts.com</w:t>
        </w:r>
      </w:hyperlink>
      <w:r>
        <w:rPr>
          <w:rFonts w:cs="Arial"/>
          <w:sz w:val="18"/>
          <w:szCs w:val="18"/>
          <w:lang w:val="en-US"/>
        </w:rPr>
        <w:br/>
        <w:t xml:space="preserve">W: </w:t>
      </w:r>
      <w:hyperlink r:id="rId22" w:history="1">
        <w:r>
          <w:rPr>
            <w:rStyle w:val="Hyperlink"/>
            <w:rFonts w:cs="Arial"/>
            <w:sz w:val="18"/>
            <w:szCs w:val="18"/>
            <w:lang w:val="en-US"/>
          </w:rPr>
          <w:t>www.iqdfrequencyproducts.com</w:t>
        </w:r>
      </w:hyperlink>
    </w:p>
    <w:p>
      <w:pPr>
        <w:pStyle w:val="PressReleaseNotes"/>
        <w:rPr>
          <w:rFonts w:cs="Arial"/>
          <w:lang w:val="de-DE"/>
        </w:rPr>
      </w:pPr>
      <w:r>
        <w:rPr>
          <w:rFonts w:cs="Arial"/>
          <w:b/>
          <w:bCs/>
          <w:sz w:val="18"/>
          <w:szCs w:val="18"/>
          <w:lang w:val="de-DE"/>
        </w:rPr>
        <w:t>Treten Sie uns bei unter:</w:t>
      </w:r>
      <w:r>
        <w:rPr>
          <w:rFonts w:cs="Arial"/>
          <w:b/>
          <w:bCs/>
          <w:color w:val="1F497D"/>
          <w:sz w:val="18"/>
          <w:szCs w:val="18"/>
          <w:lang w:val="de-DE"/>
        </w:rPr>
        <w:t xml:space="preserve">  </w:t>
      </w:r>
      <w:r>
        <w:rPr>
          <w:rFonts w:cs="Arial"/>
          <w:noProof/>
          <w:color w:val="1F497D"/>
          <w:lang w:val="en-US" w:eastAsia="zh-CN" w:bidi="he-IL"/>
        </w:rPr>
        <w:drawing>
          <wp:inline distT="0" distB="0" distL="0" distR="0">
            <wp:extent cx="151130" cy="151130"/>
            <wp:effectExtent l="0" t="0" r="1270" b="1270"/>
            <wp:docPr id="7"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lang w:val="de-DE"/>
        </w:rPr>
        <w:t> </w:t>
      </w:r>
      <w:hyperlink r:id="rId24" w:history="1">
        <w:r>
          <w:rPr>
            <w:rStyle w:val="Hyperlink"/>
            <w:rFonts w:cs="Arial"/>
            <w:b/>
            <w:bCs/>
            <w:sz w:val="18"/>
            <w:szCs w:val="18"/>
            <w:lang w:val="de-DE"/>
          </w:rPr>
          <w:t>Facebook</w:t>
        </w:r>
      </w:hyperlink>
      <w:r>
        <w:rPr>
          <w:rFonts w:cs="Arial"/>
          <w:b/>
          <w:bCs/>
          <w:color w:val="1F497D"/>
          <w:sz w:val="18"/>
          <w:szCs w:val="18"/>
          <w:lang w:val="de-DE"/>
        </w:rPr>
        <w:t xml:space="preserve">  -  </w:t>
      </w:r>
      <w:r>
        <w:rPr>
          <w:rFonts w:cs="Arial"/>
          <w:noProof/>
          <w:color w:val="1F497D"/>
          <w:lang w:val="en-US" w:eastAsia="zh-CN" w:bidi="he-IL"/>
        </w:rPr>
        <w:drawing>
          <wp:inline distT="0" distB="0" distL="0" distR="0">
            <wp:extent cx="182880" cy="182880"/>
            <wp:effectExtent l="0" t="0" r="7620" b="7620"/>
            <wp:docPr id="8"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cs="Arial"/>
          <w:color w:val="1F497D"/>
          <w:lang w:val="de-DE"/>
        </w:rPr>
        <w:t> </w:t>
      </w:r>
      <w:hyperlink r:id="rId26" w:history="1">
        <w:r>
          <w:rPr>
            <w:rStyle w:val="Hyperlink"/>
            <w:rFonts w:cs="Arial"/>
            <w:b/>
            <w:bCs/>
            <w:sz w:val="18"/>
            <w:szCs w:val="18"/>
            <w:lang w:val="de-DE"/>
          </w:rPr>
          <w:t>Twitter</w:t>
        </w:r>
      </w:hyperlink>
      <w:r>
        <w:rPr>
          <w:rFonts w:cs="Arial"/>
          <w:b/>
          <w:bCs/>
          <w:color w:val="1F497D"/>
          <w:sz w:val="18"/>
          <w:szCs w:val="18"/>
          <w:lang w:val="de-DE"/>
        </w:rPr>
        <w:t xml:space="preserve">  -  </w:t>
      </w:r>
      <w:r>
        <w:rPr>
          <w:rFonts w:cs="Arial"/>
          <w:noProof/>
          <w:color w:val="1F497D"/>
          <w:lang w:val="en-US" w:eastAsia="zh-CN" w:bidi="he-IL"/>
        </w:rPr>
        <w:drawing>
          <wp:inline distT="0" distB="0" distL="0" distR="0">
            <wp:extent cx="151130" cy="151130"/>
            <wp:effectExtent l="0" t="0" r="1270" b="1270"/>
            <wp:docPr id="9"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lang w:val="de-DE"/>
        </w:rPr>
        <w:t> </w:t>
      </w:r>
      <w:hyperlink r:id="rId28" w:history="1">
        <w:r>
          <w:rPr>
            <w:rStyle w:val="Hyperlink"/>
            <w:rFonts w:cs="Arial"/>
            <w:b/>
            <w:bCs/>
            <w:sz w:val="18"/>
            <w:szCs w:val="18"/>
            <w:lang w:val="de-DE"/>
          </w:rPr>
          <w:t>LinkedIn</w:t>
        </w:r>
      </w:hyperlink>
      <w:r>
        <w:rPr>
          <w:rFonts w:cs="Arial"/>
          <w:b/>
          <w:bCs/>
          <w:color w:val="1F497D"/>
          <w:sz w:val="18"/>
          <w:szCs w:val="18"/>
          <w:lang w:val="de-DE"/>
        </w:rPr>
        <w:t xml:space="preserve"> </w:t>
      </w:r>
      <w:r>
        <w:rPr>
          <w:rFonts w:cs="Arial"/>
          <w:noProof/>
          <w:lang w:val="en-US" w:eastAsia="zh-CN" w:bidi="he-IL"/>
        </w:rPr>
        <w:drawing>
          <wp:inline distT="0" distB="0" distL="0" distR="0">
            <wp:extent cx="151130" cy="174625"/>
            <wp:effectExtent l="0" t="0" r="127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Pr>
          <w:rFonts w:cs="Arial"/>
          <w:lang w:val="de-DE"/>
        </w:rPr>
        <w:t xml:space="preserve"> </w:t>
      </w:r>
      <w:hyperlink r:id="rId30" w:anchor="115636882866960685149/posts" w:history="1">
        <w:r>
          <w:rPr>
            <w:rStyle w:val="Hyperlink"/>
            <w:rFonts w:cs="Arial"/>
            <w:b/>
            <w:bCs/>
            <w:sz w:val="18"/>
            <w:szCs w:val="18"/>
            <w:lang w:val="de-DE"/>
          </w:rPr>
          <w:t>Google Plus</w:t>
        </w:r>
      </w:hyperlink>
    </w:p>
    <w:p>
      <w:pPr>
        <w:pStyle w:val="PressReleaseNotes"/>
        <w:spacing w:after="0"/>
        <w:rPr>
          <w:rStyle w:val="Hyperlink"/>
          <w:rFonts w:cs="Arial"/>
          <w:sz w:val="18"/>
          <w:szCs w:val="18"/>
          <w:lang w:val="de-DE"/>
        </w:rPr>
      </w:pPr>
    </w:p>
    <w:p>
      <w:pPr>
        <w:pStyle w:val="PressReleaseNotes"/>
        <w:rPr>
          <w:rFonts w:cs="Arial"/>
          <w:lang w:val="de-DE"/>
        </w:rPr>
      </w:pPr>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tabs>
        <w:tab w:val="clear" w:pos="720"/>
        <w:tab w:val="num" w:pos="360"/>
      </w:tabs>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4956">
      <w:bodyDiv w:val="1"/>
      <w:marLeft w:val="0"/>
      <w:marRight w:val="0"/>
      <w:marTop w:val="0"/>
      <w:marBottom w:val="0"/>
      <w:divBdr>
        <w:top w:val="none" w:sz="0" w:space="0" w:color="auto"/>
        <w:left w:val="none" w:sz="0" w:space="0" w:color="auto"/>
        <w:bottom w:val="none" w:sz="0" w:space="0" w:color="auto"/>
        <w:right w:val="none" w:sz="0" w:space="0" w:color="auto"/>
      </w:divBdr>
    </w:div>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166334907">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601644863">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137141960">
      <w:bodyDiv w:val="1"/>
      <w:marLeft w:val="0"/>
      <w:marRight w:val="0"/>
      <w:marTop w:val="0"/>
      <w:marBottom w:val="0"/>
      <w:divBdr>
        <w:top w:val="none" w:sz="0" w:space="0" w:color="auto"/>
        <w:left w:val="none" w:sz="0" w:space="0" w:color="auto"/>
        <w:bottom w:val="none" w:sz="0" w:space="0" w:color="auto"/>
        <w:right w:val="none" w:sz="0" w:space="0" w:color="auto"/>
      </w:divBdr>
    </w:div>
    <w:div w:id="1296448815">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K99X8U"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nfeG2b" TargetMode="External"/><Relationship Id="rId17" Type="http://schemas.openxmlformats.org/officeDocument/2006/relationships/hyperlink" Target="https://goo.gl/JdgBNn"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TLDUtc" TargetMode="External"/><Relationship Id="rId20" Type="http://schemas.openxmlformats.org/officeDocument/2006/relationships/hyperlink" Target="https://goo.gl/gQqvnu"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8cHFC5"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DMCEJh"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adpiQv" TargetMode="External"/><Relationship Id="rId19" Type="http://schemas.openxmlformats.org/officeDocument/2006/relationships/hyperlink" Target="https://goo.gl/xJUfn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nZrujU" TargetMode="External"/><Relationship Id="rId14" Type="http://schemas.openxmlformats.org/officeDocument/2006/relationships/hyperlink" Target="https://goo.gl/dydnw4"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0967E-95A8-4301-B7E1-BA4F78F2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3105</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3642</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2</cp:revision>
  <cp:lastPrinted>2015-08-21T16:09:00Z</cp:lastPrinted>
  <dcterms:created xsi:type="dcterms:W3CDTF">2020-11-09T10:41:00Z</dcterms:created>
  <dcterms:modified xsi:type="dcterms:W3CDTF">2020-11-09T10:41:00Z</dcterms:modified>
</cp:coreProperties>
</file>