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contextualSpacing/>
        <w:rPr>
          <w:rFonts w:cs="Arial"/>
          <w:color w:val="006BB6"/>
          <w:sz w:val="52"/>
          <w:lang w:val="de-DE"/>
        </w:rPr>
      </w:pPr>
      <w:r>
        <w:rPr>
          <w:rFonts w:cs="Arial"/>
          <w:color w:val="006BB6"/>
          <w:sz w:val="52"/>
          <w:lang w:val="de-DE"/>
        </w:rPr>
        <w:t xml:space="preserve">PRESSEINFORMATION </w:t>
      </w:r>
      <w:r>
        <w:rPr>
          <w:rFonts w:cs="Arial"/>
          <w:color w:val="006BB6"/>
          <w:sz w:val="28"/>
          <w:szCs w:val="28"/>
          <w:lang w:val="de-DE"/>
        </w:rPr>
        <w:t>(No. 485)</w:t>
      </w:r>
    </w:p>
    <w:p>
      <w:pPr>
        <w:tabs>
          <w:tab w:val="right" w:pos="9866"/>
        </w:tabs>
        <w:spacing w:before="240"/>
        <w:rPr>
          <w:rFonts w:cs="Arial"/>
          <w:caps/>
          <w:lang w:val="de-DE"/>
        </w:rPr>
      </w:pPr>
      <w:r>
        <w:rPr>
          <w:rFonts w:cs="Arial"/>
          <w:caps/>
          <w:lang w:val="de-DE"/>
        </w:rPr>
        <w:t>23. Oktober 2020</w:t>
      </w:r>
      <w:r>
        <w:rPr>
          <w:rFonts w:cs="Arial"/>
          <w:caps/>
          <w:lang w:val="de-DE"/>
        </w:rPr>
        <w:tab/>
        <w:t>ZUR SOFORTIGEN VERÖFFENTLICHUNG</w:t>
      </w:r>
    </w:p>
    <w:p>
      <w:pPr>
        <w:spacing w:after="0" w:line="240" w:lineRule="auto"/>
        <w:rPr>
          <w:rFonts w:cs="Arial"/>
          <w:b/>
          <w:sz w:val="36"/>
          <w:szCs w:val="36"/>
          <w:lang w:val="de-DE" w:eastAsia="en-GB"/>
        </w:rPr>
      </w:pPr>
    </w:p>
    <w:p>
      <w:pPr>
        <w:pStyle w:val="Ends"/>
        <w:rPr>
          <w:sz w:val="35"/>
          <w:szCs w:val="35"/>
          <w:lang w:val="de-DE"/>
        </w:rPr>
      </w:pPr>
      <w:r>
        <w:rPr>
          <w:sz w:val="35"/>
          <w:szCs w:val="35"/>
          <w:lang w:val="de-DE"/>
        </w:rPr>
        <w:t>IQD stellt neue Oszillatoren mit variabler Eingangsspannung vor</w:t>
      </w:r>
    </w:p>
    <w:p>
      <w:pPr>
        <w:rPr>
          <w:rFonts w:cstheme="minorHAnsi"/>
          <w:lang w:val="de-DE" w:eastAsia="zh-CN"/>
        </w:rPr>
      </w:pPr>
      <w:r>
        <w:rPr>
          <w:rFonts w:cstheme="minorHAnsi"/>
          <w:lang w:val="de-DE" w:eastAsia="zh-CN"/>
        </w:rPr>
        <w:t>Viele der heutigen Industrie- und Verbraucheranwendungen benötigen Batterien zur Spannungsversorgung. Deshalb müssen diese Produkte mit einer Spannungsänderung zurechtkommen, wenn sich die Batterien entladen. Beim Verwenden von Oszillatoren mit fester Versorgungsspannung kann dies allerdings zu Problemen führen. Eine sich entladende Batterie kann ein Absinken der Spannung verursachen, welche wiederum die Frequenz des Oszillators beeinflussen kann. Darunter kann entsp</w:t>
      </w:r>
      <w:bookmarkStart w:id="0" w:name="_GoBack"/>
      <w:bookmarkEnd w:id="0"/>
      <w:r>
        <w:rPr>
          <w:rFonts w:cstheme="minorHAnsi"/>
          <w:lang w:val="de-DE" w:eastAsia="zh-CN"/>
        </w:rPr>
        <w:t xml:space="preserve">rechend die Genauigkeit der Applikation leiden. </w:t>
      </w:r>
    </w:p>
    <w:p>
      <w:pPr>
        <w:rPr>
          <w:szCs w:val="20"/>
          <w:lang w:val="de-DE"/>
        </w:rPr>
      </w:pPr>
      <w:r>
        <w:rPr>
          <w:rFonts w:cstheme="minorHAnsi"/>
          <w:lang w:val="de-DE" w:eastAsia="zh-CN"/>
        </w:rPr>
        <w:t xml:space="preserve">IQD </w:t>
      </w:r>
      <w:proofErr w:type="spellStart"/>
      <w:r>
        <w:rPr>
          <w:rFonts w:cstheme="minorHAnsi"/>
          <w:lang w:val="de-DE" w:eastAsia="zh-CN"/>
        </w:rPr>
        <w:t>Frequency</w:t>
      </w:r>
      <w:proofErr w:type="spellEnd"/>
      <w:r>
        <w:rPr>
          <w:rFonts w:cstheme="minorHAnsi"/>
          <w:lang w:val="de-DE" w:eastAsia="zh-CN"/>
        </w:rPr>
        <w:t xml:space="preserve"> Products freut sich seine neusten Quarzoszillatoren im Standardgehäuse (SPXO) zu präsentieren: die Modellreihe IQXO-951. Diese sind auf eine Versorgungsspannung im Bereich von 1,6 V bis 3,3 V ausgelegt. Die IQXO-951 Modelle sind erhältlich in den Standardbauformen </w:t>
      </w:r>
      <w:r>
        <w:rPr>
          <w:szCs w:val="20"/>
          <w:lang w:val="de-DE"/>
        </w:rPr>
        <w:t xml:space="preserve">3,2 x 2,5 mm, 2,5 x 2,0 mm und 2,0 x 1,6 mm. Sie bieten eine Standardstabilität von </w:t>
      </w:r>
      <w:r>
        <w:rPr>
          <w:rFonts w:cstheme="minorHAnsi"/>
          <w:lang w:val="de-DE"/>
        </w:rPr>
        <w:t xml:space="preserve">± 25 ppm über den industriellen Temperaturbereich von -40 bis 85 °C und sind zudem mit erweitertem Temperaturbereich von -40 bis 125 °C erhältlich. </w:t>
      </w:r>
    </w:p>
    <w:p>
      <w:pPr>
        <w:rPr>
          <w:rFonts w:cstheme="minorHAnsi"/>
          <w:lang w:val="de-DE"/>
        </w:rPr>
      </w:pPr>
      <w:r>
        <w:rPr>
          <w:rFonts w:cstheme="minorHAnsi"/>
          <w:lang w:val="de-DE"/>
        </w:rPr>
        <w:t>Die neuen Oszillatoren sind für die meisten batteriebetriebenen Anwendungen geeignet. Zusätzlich können Kunden ihre Artikellisten reduzieren, da ein Bauteil mehrere Oszillatoren mit unterschiedlichen festen Versorgungsspannungen ersetzen kann. Märkte für diese Anwendungen sind unter anderem der Telekommunikationsmarkt, Internet der Dinge (</w:t>
      </w:r>
      <w:proofErr w:type="spellStart"/>
      <w:r>
        <w:rPr>
          <w:rFonts w:cstheme="minorHAnsi"/>
          <w:lang w:val="de-DE"/>
        </w:rPr>
        <w:t>IoT</w:t>
      </w:r>
      <w:proofErr w:type="spellEnd"/>
      <w:r>
        <w:rPr>
          <w:rFonts w:cstheme="minorHAnsi"/>
          <w:lang w:val="de-DE"/>
        </w:rPr>
        <w:t xml:space="preserve">), Medizinbereich und viele mehr. </w:t>
      </w:r>
    </w:p>
    <w:p>
      <w:pPr>
        <w:pStyle w:val="Ends"/>
        <w:jc w:val="left"/>
        <w:rPr>
          <w:rFonts w:cstheme="minorHAnsi"/>
          <w:b w:val="0"/>
          <w:sz w:val="20"/>
          <w:lang w:val="de-DE"/>
        </w:rPr>
      </w:pPr>
      <w:r>
        <w:rPr>
          <w:rFonts w:cstheme="minorHAnsi"/>
          <w:b w:val="0"/>
          <w:sz w:val="20"/>
          <w:lang w:val="de-DE"/>
        </w:rPr>
        <w:t xml:space="preserve">Mehr Informationen zum IQXO-951 finden Sie auf </w:t>
      </w:r>
      <w:hyperlink r:id="rId8" w:history="1">
        <w:r>
          <w:rPr>
            <w:rStyle w:val="Hyperlink"/>
            <w:rFonts w:cstheme="minorHAnsi"/>
            <w:b w:val="0"/>
            <w:sz w:val="20"/>
            <w:lang w:val="de-DE"/>
          </w:rPr>
          <w:t>www.iqdfrequencyproducts.com</w:t>
        </w:r>
      </w:hyperlink>
      <w:r>
        <w:rPr>
          <w:rFonts w:cstheme="minorHAnsi"/>
          <w:b w:val="0"/>
          <w:sz w:val="20"/>
          <w:lang w:val="de-DE"/>
        </w:rPr>
        <w:t>. Für weitere Fragen können Sie sich gerne jederzeit an unser Vertriebs- und Supportteam wenden.</w:t>
      </w:r>
    </w:p>
    <w:p>
      <w:pPr>
        <w:pStyle w:val="Ends"/>
        <w:rPr>
          <w:lang w:val="de-DE"/>
        </w:rPr>
      </w:pPr>
      <w:r>
        <w:rPr>
          <w:lang w:val="de-DE"/>
        </w:rPr>
        <w:t>###</w:t>
      </w:r>
    </w:p>
    <w:p>
      <w:pPr>
        <w:pStyle w:val="Ends"/>
        <w:spacing w:after="0"/>
        <w:jc w:val="left"/>
        <w:rPr>
          <w:lang w:val="de-DE"/>
        </w:rPr>
      </w:pPr>
      <w:r>
        <w:rPr>
          <w:sz w:val="18"/>
          <w:szCs w:val="18"/>
          <w:lang w:val="de-DE"/>
        </w:rPr>
        <w:t>Hinweise für Redakteure:</w:t>
      </w:r>
    </w:p>
    <w:p>
      <w:pPr>
        <w:pStyle w:val="PressReleaseNotes"/>
        <w:spacing w:after="0"/>
        <w:rPr>
          <w:rStyle w:val="Hyperlink"/>
          <w:rFonts w:cs="Arial"/>
          <w:sz w:val="18"/>
          <w:szCs w:val="18"/>
          <w:lang w:val="de-DE"/>
        </w:rPr>
      </w:pPr>
      <w:r>
        <w:rPr>
          <w:rFonts w:cs="Arial"/>
          <w:sz w:val="18"/>
          <w:szCs w:val="18"/>
          <w:lang w:val="de-DE"/>
        </w:rPr>
        <w:t xml:space="preserve">Gestützt auf eine über 40-jährige Erfahrung in der Fertigung von Frequenzprodukten, ist IQD ein anerkannter Marktführer im Bereich Frequenzsteuerung und ein Teil der </w:t>
      </w:r>
      <w:r>
        <w:rPr>
          <w:sz w:val="18"/>
          <w:szCs w:val="18"/>
          <w:lang w:val="de-DE"/>
        </w:rPr>
        <w:t>Würth Elektronik eiSos Group, einem der führenden europäischen Hersteller von passiven Bauelementen</w:t>
      </w:r>
      <w:r>
        <w:rPr>
          <w:rFonts w:cs="Arial"/>
          <w:sz w:val="18"/>
          <w:szCs w:val="18"/>
          <w:lang w:val="de-DE"/>
        </w:rPr>
        <w:t xml:space="preserve">. Mit aktiven Kunden in mehr als 80 Ländern bietet IQD eines der umfassendsten Sortimente an verfügbaren Frequenzprodukten, von preisgünstigen kommerziellen Produkten bis hin zu Ausführungen zum Einsatz in hochzuverlässigen industriellen Automotive-Anwendungen, darunter: </w:t>
      </w:r>
      <w:hyperlink r:id="rId9" w:history="1">
        <w:r>
          <w:rPr>
            <w:rStyle w:val="Hyperlink"/>
            <w:rFonts w:cs="Arial"/>
            <w:sz w:val="18"/>
            <w:szCs w:val="18"/>
            <w:lang w:val="de-DE"/>
          </w:rPr>
          <w:t>Quarzkristalle</w:t>
        </w:r>
      </w:hyperlink>
      <w:r>
        <w:rPr>
          <w:rFonts w:cs="Arial"/>
          <w:sz w:val="18"/>
          <w:szCs w:val="18"/>
          <w:lang w:val="de-DE"/>
        </w:rPr>
        <w:t xml:space="preserve">, </w:t>
      </w:r>
      <w:hyperlink r:id="rId10" w:history="1">
        <w:r>
          <w:rPr>
            <w:rStyle w:val="Hyperlink"/>
            <w:rFonts w:cs="Arial"/>
            <w:sz w:val="18"/>
            <w:szCs w:val="18"/>
            <w:lang w:val="de-DE"/>
          </w:rPr>
          <w:t>Taktoszillatoren</w:t>
        </w:r>
      </w:hyperlink>
      <w:r>
        <w:rPr>
          <w:rFonts w:cs="Arial"/>
          <w:sz w:val="18"/>
          <w:szCs w:val="18"/>
          <w:lang w:val="de-DE"/>
        </w:rPr>
        <w:t xml:space="preserve">, AEC-Q200 </w:t>
      </w:r>
      <w:hyperlink r:id="rId11" w:history="1">
        <w:r>
          <w:rPr>
            <w:rStyle w:val="Hyperlink"/>
            <w:rFonts w:cs="Arial"/>
            <w:sz w:val="18"/>
            <w:szCs w:val="18"/>
            <w:lang w:val="de-DE"/>
          </w:rPr>
          <w:t>Quarze</w:t>
        </w:r>
      </w:hyperlink>
      <w:r>
        <w:rPr>
          <w:rFonts w:cs="Arial"/>
          <w:sz w:val="18"/>
          <w:szCs w:val="18"/>
          <w:lang w:val="de-DE"/>
        </w:rPr>
        <w:t xml:space="preserve"> &amp; </w:t>
      </w:r>
      <w:hyperlink r:id="rId12" w:history="1">
        <w:r>
          <w:rPr>
            <w:rStyle w:val="Hyperlink"/>
            <w:rFonts w:cs="Arial"/>
            <w:sz w:val="18"/>
            <w:szCs w:val="18"/>
            <w:lang w:val="de-DE"/>
          </w:rPr>
          <w:t>Oszillatoren</w:t>
        </w:r>
      </w:hyperlink>
      <w:r>
        <w:rPr>
          <w:rFonts w:cs="Arial"/>
          <w:sz w:val="18"/>
          <w:szCs w:val="18"/>
          <w:lang w:val="de-DE"/>
        </w:rPr>
        <w:t xml:space="preserve">, </w:t>
      </w:r>
      <w:hyperlink r:id="rId13" w:history="1">
        <w:r>
          <w:rPr>
            <w:rStyle w:val="Hyperlink"/>
            <w:rFonts w:cs="Arial"/>
            <w:sz w:val="18"/>
            <w:szCs w:val="18"/>
            <w:lang w:val="de-DE"/>
          </w:rPr>
          <w:t>VCXOs</w:t>
        </w:r>
      </w:hyperlink>
      <w:r>
        <w:rPr>
          <w:rFonts w:cs="Arial"/>
          <w:sz w:val="18"/>
          <w:szCs w:val="18"/>
          <w:lang w:val="de-DE"/>
        </w:rPr>
        <w:t xml:space="preserve">, </w:t>
      </w:r>
      <w:hyperlink r:id="rId14" w:history="1">
        <w:r>
          <w:rPr>
            <w:rStyle w:val="Hyperlink"/>
            <w:rFonts w:cs="Arial"/>
            <w:sz w:val="18"/>
            <w:szCs w:val="18"/>
            <w:lang w:val="de-DE"/>
          </w:rPr>
          <w:t>TCXOs</w:t>
        </w:r>
      </w:hyperlink>
      <w:r>
        <w:rPr>
          <w:rFonts w:cs="Arial"/>
          <w:sz w:val="18"/>
          <w:szCs w:val="18"/>
          <w:lang w:val="de-DE"/>
        </w:rPr>
        <w:t xml:space="preserve">, </w:t>
      </w:r>
      <w:hyperlink r:id="rId15" w:history="1">
        <w:r>
          <w:rPr>
            <w:rStyle w:val="Hyperlink"/>
            <w:rFonts w:cs="Arial"/>
            <w:sz w:val="18"/>
            <w:szCs w:val="18"/>
            <w:lang w:val="de-DE"/>
          </w:rPr>
          <w:t>OCXOs</w:t>
        </w:r>
      </w:hyperlink>
      <w:r>
        <w:rPr>
          <w:rFonts w:cs="Arial"/>
          <w:sz w:val="18"/>
          <w:szCs w:val="18"/>
          <w:lang w:val="de-DE"/>
        </w:rPr>
        <w:t xml:space="preserve">, mit </w:t>
      </w:r>
      <w:hyperlink r:id="rId16" w:history="1">
        <w:r>
          <w:rPr>
            <w:rStyle w:val="Hyperlink"/>
            <w:rFonts w:cs="Arial"/>
            <w:sz w:val="18"/>
            <w:szCs w:val="18"/>
            <w:lang w:val="de-DE"/>
          </w:rPr>
          <w:t>GPS synchronisierte OCXOs</w:t>
        </w:r>
      </w:hyperlink>
      <w:r>
        <w:rPr>
          <w:rStyle w:val="Hyperlink"/>
          <w:rFonts w:cs="Arial"/>
          <w:i/>
          <w:sz w:val="18"/>
          <w:szCs w:val="18"/>
          <w:lang w:val="de-DE"/>
        </w:rPr>
        <w:t xml:space="preserve"> </w:t>
      </w:r>
      <w:r>
        <w:rPr>
          <w:rFonts w:cs="Arial"/>
          <w:sz w:val="18"/>
          <w:szCs w:val="18"/>
          <w:lang w:val="de-DE"/>
        </w:rPr>
        <w:t xml:space="preserve">sowie </w:t>
      </w:r>
      <w:hyperlink r:id="rId17" w:history="1">
        <w:r>
          <w:rPr>
            <w:rStyle w:val="Hyperlink"/>
            <w:rFonts w:cs="Arial"/>
            <w:sz w:val="18"/>
            <w:szCs w:val="18"/>
            <w:lang w:val="de-DE"/>
          </w:rPr>
          <w:t>Rubidium-Oszillatoren</w:t>
        </w:r>
      </w:hyperlink>
      <w:r>
        <w:rPr>
          <w:rFonts w:cs="Arial"/>
          <w:sz w:val="18"/>
          <w:szCs w:val="18"/>
          <w:lang w:val="de-DE"/>
        </w:rPr>
        <w:t>.</w:t>
      </w:r>
      <w:r>
        <w:rPr>
          <w:rStyle w:val="Hyperlink"/>
          <w:rFonts w:cs="Arial"/>
          <w:sz w:val="18"/>
          <w:szCs w:val="18"/>
          <w:lang w:val="de-DE"/>
        </w:rPr>
        <w:t xml:space="preserve"> </w:t>
      </w:r>
    </w:p>
    <w:p>
      <w:pPr>
        <w:pStyle w:val="PressReleaseNotes"/>
        <w:spacing w:after="0"/>
        <w:rPr>
          <w:rFonts w:cs="Arial"/>
          <w:sz w:val="18"/>
          <w:szCs w:val="18"/>
          <w:lang w:val="de-DE"/>
        </w:rPr>
      </w:pPr>
      <w:r>
        <w:rPr>
          <w:rFonts w:cs="Arial"/>
          <w:sz w:val="18"/>
          <w:szCs w:val="18"/>
          <w:lang w:val="de-DE"/>
        </w:rPr>
        <w:t xml:space="preserve">    </w:t>
      </w:r>
    </w:p>
    <w:p>
      <w:pPr>
        <w:pStyle w:val="PressReleaseNotes"/>
        <w:rPr>
          <w:rFonts w:cs="Arial"/>
          <w:sz w:val="18"/>
          <w:szCs w:val="18"/>
          <w:lang w:val="de-DE"/>
        </w:rPr>
      </w:pPr>
      <w:r>
        <w:rPr>
          <w:rFonts w:cs="Arial"/>
          <w:sz w:val="18"/>
          <w:szCs w:val="18"/>
          <w:lang w:val="de-DE"/>
        </w:rPr>
        <w:t xml:space="preserve">Die Fertigungskapazität liegt bei insgesamt mehr als 40 Millionen Einheiten pro Monat, wobei Liefermengen von speziellen Einzelanfertigungen bis hin zu Mehrmillionen-Aufträgen enthalten sind. Darüber hinaus bietet IQD seinen Kunden ein breites Spektrum an Ingenieur-Support-Services einschließlich Anwendungsunterstützung, kundenspezifischer Produktentwicklung, Musterentwicklung, elektrischem Testen &amp; Screening, Frequenz-/Temperaturtests, beschleunigtem Altern, Schaltungs-Charakterisierung sowie MTIE/TDEV-Tests. IQD-Produkte sind durch führende Hersteller in den Branchen Luft- und Raumfahrt, Kraftfahrzeugtechnik, Kommunikation, Computer, Konsumer und Industrie, auf der ganzen Welt spezifiziert. Unsere gesamte Produktpalette ist direkt über unsere </w:t>
      </w:r>
      <w:hyperlink r:id="rId18" w:history="1">
        <w:r>
          <w:rPr>
            <w:rStyle w:val="Hyperlink"/>
            <w:rFonts w:cs="Arial"/>
            <w:sz w:val="18"/>
            <w:szCs w:val="18"/>
            <w:lang w:val="de-DE"/>
          </w:rPr>
          <w:t>Vertriebsbüros</w:t>
        </w:r>
      </w:hyperlink>
      <w:r>
        <w:rPr>
          <w:rFonts w:cs="Arial"/>
          <w:sz w:val="18"/>
          <w:szCs w:val="18"/>
          <w:lang w:val="de-DE"/>
        </w:rPr>
        <w:t xml:space="preserve"> oder über unser umfangreiches weltweites </w:t>
      </w:r>
      <w:hyperlink r:id="rId19" w:history="1">
        <w:r>
          <w:rPr>
            <w:rStyle w:val="Hyperlink"/>
            <w:sz w:val="18"/>
            <w:lang w:val="de-DE" w:eastAsia="zh-TW"/>
          </w:rPr>
          <w:t>Vertriebsnetz erhältlich</w:t>
        </w:r>
      </w:hyperlink>
      <w:r>
        <w:rPr>
          <w:sz w:val="18"/>
          <w:lang w:val="de-DE" w:eastAsia="zh-TW"/>
        </w:rPr>
        <w:t xml:space="preserve">. </w:t>
      </w:r>
      <w:r>
        <w:rPr>
          <w:rFonts w:cs="Arial"/>
          <w:sz w:val="18"/>
          <w:szCs w:val="18"/>
          <w:lang w:val="de-DE"/>
        </w:rPr>
        <w:t xml:space="preserve">erhältlich. Zu weiteren Informationen besuchen Sie </w:t>
      </w:r>
      <w:hyperlink r:id="rId20" w:history="1">
        <w:r>
          <w:rPr>
            <w:rStyle w:val="Hyperlink"/>
            <w:rFonts w:cs="Arial"/>
            <w:sz w:val="18"/>
            <w:szCs w:val="18"/>
            <w:lang w:val="de-DE"/>
          </w:rPr>
          <w:t>www.iqdfrequencyproducts.de</w:t>
        </w:r>
      </w:hyperlink>
      <w:r>
        <w:rPr>
          <w:rFonts w:cs="Arial"/>
          <w:sz w:val="18"/>
          <w:szCs w:val="18"/>
          <w:lang w:val="de-DE"/>
        </w:rPr>
        <w:t>.</w:t>
      </w:r>
    </w:p>
    <w:p>
      <w:pPr>
        <w:pStyle w:val="PressReleaseNotes"/>
        <w:rPr>
          <w:rFonts w:cs="Arial"/>
          <w:sz w:val="18"/>
          <w:szCs w:val="18"/>
          <w:lang w:val="de-DE"/>
        </w:rPr>
      </w:pPr>
    </w:p>
    <w:p>
      <w:pPr>
        <w:pStyle w:val="PressReleaseNotesFurtherInformation"/>
        <w:rPr>
          <w:rFonts w:cs="Arial"/>
          <w:sz w:val="18"/>
          <w:szCs w:val="18"/>
          <w:lang w:val="de-DE"/>
        </w:rPr>
      </w:pPr>
      <w:r>
        <w:rPr>
          <w:rFonts w:cs="Arial"/>
          <w:sz w:val="18"/>
          <w:szCs w:val="18"/>
          <w:lang w:val="de-DE"/>
        </w:rPr>
        <w:t xml:space="preserve">Weitere Informationen: </w:t>
      </w:r>
    </w:p>
    <w:p>
      <w:pPr>
        <w:pStyle w:val="PressReleaseNotes"/>
        <w:rPr>
          <w:rFonts w:cs="Arial"/>
          <w:sz w:val="18"/>
          <w:szCs w:val="18"/>
          <w:lang w:val="en-US"/>
        </w:rPr>
      </w:pPr>
      <w:r>
        <w:rPr>
          <w:rFonts w:cs="Arial"/>
          <w:sz w:val="18"/>
          <w:szCs w:val="18"/>
          <w:lang w:val="en-US"/>
        </w:rPr>
        <w:lastRenderedPageBreak/>
        <w:t>Becky Long</w:t>
      </w:r>
      <w:r>
        <w:rPr>
          <w:rFonts w:cs="Arial"/>
          <w:sz w:val="18"/>
          <w:szCs w:val="18"/>
          <w:lang w:val="en-US"/>
        </w:rPr>
        <w:br/>
        <w:t>IQD Frequency Products Ltd</w:t>
      </w:r>
      <w:r>
        <w:rPr>
          <w:rFonts w:cs="Arial"/>
          <w:sz w:val="18"/>
          <w:szCs w:val="18"/>
          <w:lang w:val="en-US"/>
        </w:rPr>
        <w:br/>
        <w:t>T: +44 (0)1460 270270</w:t>
      </w:r>
      <w:r>
        <w:rPr>
          <w:rFonts w:cs="Arial"/>
          <w:sz w:val="18"/>
          <w:szCs w:val="18"/>
          <w:lang w:val="en-US"/>
        </w:rPr>
        <w:br/>
        <w:t xml:space="preserve">E: </w:t>
      </w:r>
      <w:hyperlink r:id="rId21" w:history="1">
        <w:r>
          <w:rPr>
            <w:rStyle w:val="Hyperlink"/>
            <w:rFonts w:cs="Arial"/>
            <w:sz w:val="18"/>
            <w:szCs w:val="18"/>
            <w:lang w:val="en-US"/>
          </w:rPr>
          <w:t>rebecca.long@iqdfrequencyproducts.com</w:t>
        </w:r>
      </w:hyperlink>
      <w:r>
        <w:rPr>
          <w:rFonts w:cs="Arial"/>
          <w:sz w:val="18"/>
          <w:szCs w:val="18"/>
          <w:lang w:val="en-US"/>
        </w:rPr>
        <w:br/>
        <w:t xml:space="preserve">W: </w:t>
      </w:r>
      <w:hyperlink r:id="rId22" w:history="1">
        <w:r>
          <w:rPr>
            <w:rStyle w:val="Hyperlink"/>
            <w:rFonts w:cs="Arial"/>
            <w:sz w:val="18"/>
            <w:szCs w:val="18"/>
            <w:lang w:val="en-US"/>
          </w:rPr>
          <w:t>www.iqdfrequencyproducts.com</w:t>
        </w:r>
      </w:hyperlink>
    </w:p>
    <w:p>
      <w:pPr>
        <w:pStyle w:val="PressReleaseNotes"/>
        <w:rPr>
          <w:rFonts w:cs="Arial"/>
          <w:lang w:val="de-DE"/>
        </w:rPr>
      </w:pPr>
      <w:r>
        <w:rPr>
          <w:rFonts w:cs="Arial"/>
          <w:b/>
          <w:bCs/>
          <w:sz w:val="18"/>
          <w:szCs w:val="18"/>
          <w:lang w:val="de-DE"/>
        </w:rPr>
        <w:t>Treten Sie uns bei unter:</w:t>
      </w:r>
      <w:r>
        <w:rPr>
          <w:rFonts w:cs="Arial"/>
          <w:b/>
          <w:bCs/>
          <w:color w:val="1F497D"/>
          <w:sz w:val="18"/>
          <w:szCs w:val="18"/>
          <w:lang w:val="de-DE"/>
        </w:rPr>
        <w:t xml:space="preserve">  </w:t>
      </w:r>
      <w:r>
        <w:rPr>
          <w:rFonts w:cs="Arial"/>
          <w:noProof/>
          <w:color w:val="1F497D"/>
          <w:lang w:val="en-US" w:eastAsia="zh-CN" w:bidi="he-IL"/>
        </w:rPr>
        <w:drawing>
          <wp:inline distT="0" distB="0" distL="0" distR="0">
            <wp:extent cx="151130" cy="151130"/>
            <wp:effectExtent l="0" t="0" r="1270" b="1270"/>
            <wp:docPr id="7" name="Picture_x0020_2" descr="http://www.cartown.com/forum/fbb/facebook_logo_16x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2" descr="http://www.cartown.com/forum/fbb/facebook_logo_16x16.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4" w:history="1">
        <w:r>
          <w:rPr>
            <w:rStyle w:val="Hyperlink"/>
            <w:rFonts w:cs="Arial"/>
            <w:b/>
            <w:bCs/>
            <w:sz w:val="18"/>
            <w:szCs w:val="18"/>
            <w:lang w:val="de-DE"/>
          </w:rPr>
          <w:t>Facebook</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82880" cy="182880"/>
            <wp:effectExtent l="0" t="0" r="7620" b="7620"/>
            <wp:docPr id="8" name="Picture_x0020_3" descr="http://www.mcreeford.com/images/home/twitte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3" descr="http://www.mcreeford.com/images/home/twitter-logo.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Pr>
          <w:rFonts w:cs="Arial"/>
          <w:color w:val="1F497D"/>
          <w:lang w:val="de-DE"/>
        </w:rPr>
        <w:t> </w:t>
      </w:r>
      <w:hyperlink r:id="rId26" w:history="1">
        <w:r>
          <w:rPr>
            <w:rStyle w:val="Hyperlink"/>
            <w:rFonts w:cs="Arial"/>
            <w:b/>
            <w:bCs/>
            <w:sz w:val="18"/>
            <w:szCs w:val="18"/>
            <w:lang w:val="de-DE"/>
          </w:rPr>
          <w:t>Twitter</w:t>
        </w:r>
      </w:hyperlink>
      <w:r>
        <w:rPr>
          <w:rFonts w:cs="Arial"/>
          <w:b/>
          <w:bCs/>
          <w:color w:val="1F497D"/>
          <w:sz w:val="18"/>
          <w:szCs w:val="18"/>
          <w:lang w:val="de-DE"/>
        </w:rPr>
        <w:t xml:space="preserve">  -  </w:t>
      </w:r>
      <w:r>
        <w:rPr>
          <w:rFonts w:cs="Arial"/>
          <w:noProof/>
          <w:color w:val="1F497D"/>
          <w:lang w:val="en-US" w:eastAsia="zh-CN" w:bidi="he-IL"/>
        </w:rPr>
        <w:drawing>
          <wp:inline distT="0" distB="0" distL="0" distR="0">
            <wp:extent cx="151130" cy="151130"/>
            <wp:effectExtent l="0" t="0" r="1270" b="1270"/>
            <wp:docPr id="9" name="Picture_x0020_4" descr="http://www.besthomesbc.com/images/linkedi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4" descr="http://www.besthomesbc.com/images/linkedin_logo.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Pr>
          <w:rFonts w:cs="Arial"/>
          <w:color w:val="1F497D"/>
          <w:lang w:val="de-DE"/>
        </w:rPr>
        <w:t> </w:t>
      </w:r>
      <w:hyperlink r:id="rId28" w:history="1">
        <w:r>
          <w:rPr>
            <w:rStyle w:val="Hyperlink"/>
            <w:rFonts w:cs="Arial"/>
            <w:b/>
            <w:bCs/>
            <w:sz w:val="18"/>
            <w:szCs w:val="18"/>
            <w:lang w:val="de-DE"/>
          </w:rPr>
          <w:t>LinkedIn</w:t>
        </w:r>
      </w:hyperlink>
      <w:r>
        <w:rPr>
          <w:rFonts w:cs="Arial"/>
          <w:b/>
          <w:bCs/>
          <w:color w:val="1F497D"/>
          <w:sz w:val="18"/>
          <w:szCs w:val="18"/>
          <w:lang w:val="de-DE"/>
        </w:rPr>
        <w:t xml:space="preserve"> </w:t>
      </w:r>
      <w:r>
        <w:rPr>
          <w:rFonts w:cs="Arial"/>
          <w:noProof/>
          <w:lang w:val="en-US" w:eastAsia="zh-CN" w:bidi="he-IL"/>
        </w:rPr>
        <w:drawing>
          <wp:inline distT="0" distB="0" distL="0" distR="0">
            <wp:extent cx="151130" cy="174625"/>
            <wp:effectExtent l="0" t="0" r="127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l="10941" r="4973" b="12025"/>
                    <a:stretch>
                      <a:fillRect/>
                    </a:stretch>
                  </pic:blipFill>
                  <pic:spPr bwMode="auto">
                    <a:xfrm>
                      <a:off x="0" y="0"/>
                      <a:ext cx="151130" cy="174625"/>
                    </a:xfrm>
                    <a:prstGeom prst="rect">
                      <a:avLst/>
                    </a:prstGeom>
                    <a:noFill/>
                    <a:ln>
                      <a:noFill/>
                    </a:ln>
                  </pic:spPr>
                </pic:pic>
              </a:graphicData>
            </a:graphic>
          </wp:inline>
        </w:drawing>
      </w:r>
      <w:r>
        <w:rPr>
          <w:rFonts w:cs="Arial"/>
          <w:lang w:val="de-DE"/>
        </w:rPr>
        <w:t xml:space="preserve"> </w:t>
      </w:r>
      <w:hyperlink r:id="rId30" w:anchor="115636882866960685149/posts" w:history="1">
        <w:r>
          <w:rPr>
            <w:rStyle w:val="Hyperlink"/>
            <w:rFonts w:cs="Arial"/>
            <w:b/>
            <w:bCs/>
            <w:sz w:val="18"/>
            <w:szCs w:val="18"/>
            <w:lang w:val="de-DE"/>
          </w:rPr>
          <w:t>Google Plus</w:t>
        </w:r>
      </w:hyperlink>
    </w:p>
    <w:p>
      <w:pPr>
        <w:pStyle w:val="PressReleaseNotes"/>
        <w:spacing w:after="0"/>
        <w:rPr>
          <w:rStyle w:val="Hyperlink"/>
          <w:rFonts w:cs="Arial"/>
          <w:sz w:val="18"/>
          <w:szCs w:val="18"/>
          <w:lang w:val="de-DE"/>
        </w:rPr>
      </w:pPr>
    </w:p>
    <w:p>
      <w:pPr>
        <w:pStyle w:val="PressReleaseNotes"/>
        <w:rPr>
          <w:rFonts w:cs="Arial"/>
          <w:lang w:val="de-DE"/>
        </w:rPr>
      </w:pPr>
    </w:p>
    <w:sectPr>
      <w:footerReference w:type="default" r:id="rId31"/>
      <w:headerReference w:type="first" r:id="rId32"/>
      <w:footerReference w:type="first" r:id="rId33"/>
      <w:pgSz w:w="11906" w:h="16838" w:code="9"/>
      <w:pgMar w:top="2268" w:right="1021" w:bottom="709" w:left="1021"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8240"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p/>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IQDLetterheadAddress"/>
    </w:pPr>
    <w:r>
      <w:t xml:space="preserve">IQD Frequency Products Ltd </w:t>
    </w:r>
    <w:r>
      <w:rPr>
        <w:rFonts w:ascii="MS Gothic" w:eastAsia="MS Gothic" w:hAnsi="MS Gothic" w:cs="MS Gothic" w:hint="eastAsia"/>
      </w:rPr>
      <w:t>￭</w:t>
    </w:r>
    <w:r>
      <w:t xml:space="preserve"> Station Road </w:t>
    </w:r>
    <w:r>
      <w:rPr>
        <w:rFonts w:ascii="MS Gothic" w:eastAsia="MS Gothic" w:hAnsi="MS Gothic" w:cs="MS Gothic" w:hint="eastAsia"/>
      </w:rPr>
      <w:t>￭</w:t>
    </w:r>
    <w:r>
      <w:t xml:space="preserve"> Crewkerne </w:t>
    </w:r>
    <w:r>
      <w:rPr>
        <w:rFonts w:ascii="MS Gothic" w:eastAsia="MS Gothic" w:hAnsi="MS Gothic" w:cs="MS Gothic" w:hint="eastAsia"/>
      </w:rPr>
      <w:t>￭</w:t>
    </w:r>
    <w:r>
      <w:t xml:space="preserve"> Somerset </w:t>
    </w:r>
    <w:r>
      <w:rPr>
        <w:rFonts w:ascii="MS Gothic" w:eastAsia="MS Gothic" w:hAnsi="MS Gothic" w:cs="MS Gothic" w:hint="eastAsia"/>
      </w:rPr>
      <w:t>￭</w:t>
    </w:r>
    <w:r>
      <w:t xml:space="preserve"> TA18 8AR </w:t>
    </w:r>
    <w:r>
      <w:rPr>
        <w:rFonts w:ascii="MS Gothic" w:eastAsia="MS Gothic" w:hAnsi="MS Gothic" w:cs="MS Gothic" w:hint="eastAsia"/>
      </w:rPr>
      <w:t>￭</w:t>
    </w:r>
    <w:r>
      <w:t xml:space="preserve"> United Kingdom</w:t>
    </w:r>
    <w:r>
      <w:br/>
      <w:t xml:space="preserve">Tel: +44 (0)1460 270200 </w:t>
    </w:r>
    <w:r>
      <w:rPr>
        <w:rFonts w:ascii="MS Gothic" w:eastAsia="MS Gothic" w:hAnsi="MS Gothic" w:cs="MS Gothic" w:hint="eastAsia"/>
      </w:rPr>
      <w:t>￭</w:t>
    </w:r>
    <w:r>
      <w:t xml:space="preserve"> Fax: +44 (0)1460 72578 </w:t>
    </w:r>
    <w:r>
      <w:rPr>
        <w:rFonts w:ascii="MS Gothic" w:eastAsia="MS Gothic" w:hAnsi="MS Gothic" w:cs="MS Gothic" w:hint="eastAsia"/>
      </w:rPr>
      <w:t>￭</w:t>
    </w:r>
    <w:r>
      <w:t xml:space="preserve"> Email: info@iqdfrequencyproducts.com</w:t>
    </w:r>
  </w:p>
  <w:p>
    <w:pPr>
      <w:pStyle w:val="IQDLetterheadRegistered"/>
    </w:pPr>
    <w:r>
      <w:t xml:space="preserve">Registered in England No: 06478545 </w:t>
    </w:r>
    <w:r>
      <w:rPr>
        <w:rFonts w:ascii="MS Gothic" w:eastAsia="MS Gothic" w:hAnsi="MS Gothic" w:cs="MS Gothic" w:hint="eastAsia"/>
      </w:rPr>
      <w:t>￭</w:t>
    </w:r>
    <w:r>
      <w:t xml:space="preserve"> VAT Registration No: GB932 4502 45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rPr>
        <w:sz w:val="18"/>
        <w:szCs w:val="18"/>
      </w:rPr>
    </w:pPr>
    <w:r>
      <w:rPr>
        <w:noProof/>
        <w:lang w:val="en-US" w:eastAsia="zh-CN" w:bidi="he-IL"/>
      </w:rPr>
      <w:drawing>
        <wp:anchor distT="0" distB="0" distL="114300" distR="114300" simplePos="0" relativeHeight="251657216" behindDoc="0" locked="1" layoutInCell="1" allowOverlap="0">
          <wp:simplePos x="0" y="0"/>
          <wp:positionH relativeFrom="column">
            <wp:posOffset>0</wp:posOffset>
          </wp:positionH>
          <wp:positionV relativeFrom="page">
            <wp:posOffset>720090</wp:posOffset>
          </wp:positionV>
          <wp:extent cx="1688465" cy="504190"/>
          <wp:effectExtent l="0" t="0" r="6985"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8465" cy="5041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71C52"/>
    <w:multiLevelType w:val="multilevel"/>
    <w:tmpl w:val="08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B8F7B6A"/>
    <w:multiLevelType w:val="hybridMultilevel"/>
    <w:tmpl w:val="B8DC7FA6"/>
    <w:lvl w:ilvl="0" w:tplc="4F248B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A63FC3"/>
    <w:multiLevelType w:val="multilevel"/>
    <w:tmpl w:val="CEAE7AC4"/>
    <w:lvl w:ilvl="0">
      <w:start w:val="1"/>
      <w:numFmt w:val="decimal"/>
      <w:pStyle w:val="Heading1NP"/>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72527BE6"/>
    <w:multiLevelType w:val="hybridMultilevel"/>
    <w:tmpl w:val="15D858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009E231E-224B-449C-91AA-34F90612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line="288" w:lineRule="auto"/>
    </w:pPr>
    <w:rPr>
      <w:rFonts w:ascii="Arial" w:hAnsi="Arial"/>
      <w:szCs w:val="22"/>
      <w:lang w:eastAsia="en-US"/>
    </w:rPr>
  </w:style>
  <w:style w:type="paragraph" w:styleId="Heading1">
    <w:name w:val="heading 1"/>
    <w:basedOn w:val="Normal"/>
    <w:next w:val="Normal"/>
    <w:link w:val="Heading1Char"/>
    <w:uiPriority w:val="9"/>
    <w:pPr>
      <w:keepNext/>
      <w:keepLines/>
      <w:numPr>
        <w:numId w:val="1"/>
      </w:numPr>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NP">
    <w:name w:val="Heading 1 NP"/>
    <w:basedOn w:val="Heading1"/>
    <w:link w:val="Heading1NPChar"/>
    <w:autoRedefine/>
    <w:pPr>
      <w:keepLines w:val="0"/>
      <w:pageBreakBefore/>
      <w:numPr>
        <w:numId w:val="3"/>
      </w:numPr>
      <w:tabs>
        <w:tab w:val="clear" w:pos="720"/>
        <w:tab w:val="num" w:pos="360"/>
      </w:tabs>
      <w:spacing w:before="360" w:after="60"/>
      <w:ind w:left="431" w:hanging="431"/>
    </w:pPr>
    <w:rPr>
      <w:rFonts w:ascii="Calibri" w:hAnsi="Calibri"/>
      <w:b/>
      <w:bCs/>
      <w:color w:val="auto"/>
      <w:kern w:val="32"/>
      <w:sz w:val="24"/>
    </w:rPr>
  </w:style>
  <w:style w:type="character" w:customStyle="1" w:styleId="Heading1NPChar">
    <w:name w:val="Heading 1 NP Char"/>
    <w:link w:val="Heading1NP"/>
    <w:rPr>
      <w:rFonts w:ascii="Calibri Light" w:eastAsia="Times New Roman" w:hAnsi="Calibri Light" w:cs="Times New Roman"/>
      <w:b/>
      <w:bCs/>
      <w:color w:val="2E74B5"/>
      <w:kern w:val="32"/>
      <w:sz w:val="24"/>
      <w:szCs w:val="32"/>
    </w:rPr>
  </w:style>
  <w:style w:type="character" w:customStyle="1" w:styleId="Heading1Char">
    <w:name w:val="Heading 1 Char"/>
    <w:link w:val="Heading1"/>
    <w:uiPriority w:val="9"/>
    <w:rPr>
      <w:rFonts w:ascii="Calibri Light" w:eastAsia="Times New Roman" w:hAnsi="Calibri Light" w:cs="Times New Roman"/>
      <w:color w:val="2E74B5"/>
      <w:sz w:val="32"/>
      <w:szCs w:val="32"/>
    </w:rPr>
  </w:style>
  <w:style w:type="paragraph" w:customStyle="1" w:styleId="BodyTextNumbered">
    <w:name w:val="Body Text Numbered"/>
    <w:basedOn w:val="Normal"/>
    <w:link w:val="BodyTextNumberedChar"/>
    <w:autoRedefine/>
    <w:pPr>
      <w:tabs>
        <w:tab w:val="num" w:pos="720"/>
      </w:tabs>
      <w:spacing w:before="120" w:after="0"/>
      <w:ind w:left="720" w:hanging="360"/>
    </w:pPr>
    <w:rPr>
      <w:rFonts w:cs="Arial"/>
    </w:rPr>
  </w:style>
  <w:style w:type="character" w:customStyle="1" w:styleId="BodyTextNumberedChar">
    <w:name w:val="Body Text Numbered Char"/>
    <w:link w:val="BodyTextNumbered"/>
    <w:rPr>
      <w:rFonts w:ascii="Myriad Pro" w:hAnsi="Myriad Pro" w:cs="Arial"/>
      <w:sz w:val="20"/>
    </w:rPr>
  </w:style>
  <w:style w:type="paragraph" w:styleId="Title">
    <w:name w:val="Title"/>
    <w:basedOn w:val="Normal"/>
    <w:next w:val="Normal"/>
    <w:link w:val="TitleChar"/>
    <w:autoRedefine/>
    <w:uiPriority w:val="10"/>
    <w:pPr>
      <w:widowControl w:val="0"/>
      <w:pBdr>
        <w:top w:val="single" w:sz="24" w:space="3" w:color="97B2DD"/>
      </w:pBdr>
      <w:spacing w:before="2880" w:after="360" w:line="312" w:lineRule="auto"/>
    </w:pPr>
    <w:rPr>
      <w:rFonts w:eastAsia="Times New Roman"/>
      <w:b/>
      <w:spacing w:val="-10"/>
      <w:kern w:val="28"/>
      <w:sz w:val="32"/>
      <w:szCs w:val="56"/>
    </w:rPr>
  </w:style>
  <w:style w:type="character" w:customStyle="1" w:styleId="TitleChar">
    <w:name w:val="Title Char"/>
    <w:link w:val="Title"/>
    <w:uiPriority w:val="10"/>
    <w:rPr>
      <w:rFonts w:eastAsia="Times New Roman" w:cs="Times New Roman"/>
      <w:b/>
      <w:spacing w:val="-10"/>
      <w:kern w:val="28"/>
      <w:sz w:val="32"/>
      <w:szCs w:val="5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Myriad Pro" w:hAnsi="Myriad Pro"/>
      <w:sz w:val="20"/>
    </w:rPr>
  </w:style>
  <w:style w:type="paragraph" w:styleId="Footer">
    <w:name w:val="footer"/>
    <w:basedOn w:val="Normal"/>
    <w:link w:val="FooterChar"/>
    <w:uiPriority w:val="99"/>
    <w:unhideWhenUsed/>
    <w:pPr>
      <w:tabs>
        <w:tab w:val="center" w:pos="4513"/>
        <w:tab w:val="right" w:pos="9026"/>
      </w:tabs>
      <w:spacing w:after="0" w:line="240" w:lineRule="auto"/>
      <w:jc w:val="right"/>
    </w:pPr>
    <w:rPr>
      <w:sz w:val="18"/>
    </w:rPr>
  </w:style>
  <w:style w:type="character" w:customStyle="1" w:styleId="FooterChar">
    <w:name w:val="Footer Char"/>
    <w:link w:val="Footer"/>
    <w:uiPriority w:val="99"/>
    <w:rPr>
      <w:rFonts w:ascii="Myriad Pro" w:hAnsi="Myriad Pro"/>
      <w:sz w:val="18"/>
    </w:rPr>
  </w:style>
  <w:style w:type="paragraph" w:customStyle="1" w:styleId="IQDLetterheadAddress">
    <w:name w:val="IQD Letterhead Address"/>
    <w:basedOn w:val="IQDLetterheadRegistered"/>
    <w:autoRedefine/>
    <w:qFormat/>
    <w:pPr>
      <w:spacing w:line="264" w:lineRule="auto"/>
    </w:pPr>
    <w:rPr>
      <w:sz w:val="18"/>
    </w:rPr>
  </w:style>
  <w:style w:type="paragraph" w:customStyle="1" w:styleId="IQDLetterheadRegistered">
    <w:name w:val="IQD Letterhead Registered"/>
    <w:basedOn w:val="Footer"/>
    <w:autoRedefine/>
    <w:qFormat/>
    <w:pPr>
      <w:spacing w:before="40" w:line="288" w:lineRule="auto"/>
    </w:pPr>
    <w:rPr>
      <w:color w:val="006BB6"/>
      <w:sz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Pr>
      <w:rFonts w:ascii="Segoe UI" w:hAnsi="Segoe UI" w:cs="Segoe UI"/>
      <w:sz w:val="18"/>
      <w:szCs w:val="18"/>
    </w:rPr>
  </w:style>
  <w:style w:type="paragraph" w:customStyle="1" w:styleId="ReceipientAddress">
    <w:name w:val="Receipient Address"/>
    <w:basedOn w:val="Normal"/>
    <w:link w:val="ReceipientAddressChar"/>
    <w:qFormat/>
    <w:pPr>
      <w:spacing w:after="240" w:line="240" w:lineRule="auto"/>
      <w:contextualSpacing/>
    </w:pPr>
  </w:style>
  <w:style w:type="paragraph" w:customStyle="1" w:styleId="LetterDate">
    <w:name w:val="Letter Date"/>
    <w:basedOn w:val="Normal"/>
    <w:autoRedefine/>
    <w:qFormat/>
    <w:pPr>
      <w:spacing w:before="480" w:after="480"/>
    </w:pPr>
  </w:style>
  <w:style w:type="paragraph" w:customStyle="1" w:styleId="Name">
    <w:name w:val="Name"/>
    <w:basedOn w:val="Normal"/>
    <w:link w:val="NameChar"/>
    <w:qFormat/>
    <w:pPr>
      <w:spacing w:after="0"/>
    </w:pPr>
  </w:style>
  <w:style w:type="paragraph" w:customStyle="1" w:styleId="JobTitle">
    <w:name w:val="Job Title"/>
    <w:basedOn w:val="Name"/>
    <w:link w:val="JobTitleChar"/>
    <w:qFormat/>
    <w:pPr>
      <w:spacing w:after="120"/>
    </w:pPr>
  </w:style>
  <w:style w:type="paragraph" w:customStyle="1" w:styleId="PressRelease">
    <w:name w:val="Press Release"/>
    <w:basedOn w:val="ReceipientAddress"/>
    <w:link w:val="PressReleaseChar"/>
    <w:autoRedefine/>
    <w:qFormat/>
    <w:pPr>
      <w:spacing w:after="120"/>
    </w:pPr>
    <w:rPr>
      <w:rFonts w:cs="Arial"/>
      <w:color w:val="006BB6"/>
      <w:sz w:val="52"/>
    </w:rPr>
  </w:style>
  <w:style w:type="paragraph" w:customStyle="1" w:styleId="PressReleaseDate">
    <w:name w:val="Press Release Date"/>
    <w:basedOn w:val="LetterDate"/>
    <w:autoRedefine/>
    <w:qFormat/>
    <w:pPr>
      <w:tabs>
        <w:tab w:val="right" w:pos="9866"/>
      </w:tabs>
      <w:spacing w:before="240" w:after="120"/>
    </w:pPr>
    <w:rPr>
      <w:rFonts w:cs="Arial"/>
      <w:caps/>
    </w:rPr>
  </w:style>
  <w:style w:type="character" w:customStyle="1" w:styleId="ReceipientAddressChar">
    <w:name w:val="Receipient Address Char"/>
    <w:link w:val="ReceipientAddress"/>
    <w:rPr>
      <w:rFonts w:ascii="Myriad Pro" w:hAnsi="Myriad Pro"/>
      <w:sz w:val="20"/>
    </w:rPr>
  </w:style>
  <w:style w:type="character" w:customStyle="1" w:styleId="PressReleaseChar">
    <w:name w:val="Press Release Char"/>
    <w:link w:val="PressRelease"/>
    <w:rPr>
      <w:rFonts w:ascii="Arial" w:hAnsi="Arial" w:cs="Arial"/>
      <w:color w:val="006BB6"/>
      <w:sz w:val="52"/>
      <w:szCs w:val="22"/>
      <w:lang w:eastAsia="en-US"/>
    </w:rPr>
  </w:style>
  <w:style w:type="paragraph" w:customStyle="1" w:styleId="PressReleaseHeading">
    <w:name w:val="Press Release Heading"/>
    <w:basedOn w:val="Normal"/>
    <w:link w:val="PressReleaseHeadingChar"/>
    <w:autoRedefine/>
    <w:qFormat/>
    <w:pPr>
      <w:spacing w:after="240"/>
      <w:jc w:val="center"/>
    </w:pPr>
    <w:rPr>
      <w:rFonts w:cs="Arial"/>
      <w:b/>
      <w:sz w:val="36"/>
    </w:rPr>
  </w:style>
  <w:style w:type="paragraph" w:customStyle="1" w:styleId="Ends">
    <w:name w:val="Ends"/>
    <w:basedOn w:val="PressReleaseHeading"/>
    <w:link w:val="EndsChar"/>
    <w:qFormat/>
    <w:rPr>
      <w:sz w:val="24"/>
    </w:rPr>
  </w:style>
  <w:style w:type="character" w:customStyle="1" w:styleId="PressReleaseHeadingChar">
    <w:name w:val="Press Release Heading Char"/>
    <w:link w:val="PressReleaseHeading"/>
    <w:rPr>
      <w:rFonts w:ascii="Arial" w:hAnsi="Arial" w:cs="Arial"/>
      <w:b/>
      <w:sz w:val="36"/>
      <w:szCs w:val="22"/>
      <w:lang w:eastAsia="en-US"/>
    </w:rPr>
  </w:style>
  <w:style w:type="paragraph" w:customStyle="1" w:styleId="PressReleaseText">
    <w:name w:val="Press Release Text"/>
    <w:basedOn w:val="JobTitle"/>
    <w:qFormat/>
    <w:pPr>
      <w:spacing w:line="360" w:lineRule="auto"/>
    </w:pPr>
  </w:style>
  <w:style w:type="character" w:customStyle="1" w:styleId="EndsChar">
    <w:name w:val="Ends Char"/>
    <w:link w:val="Ends"/>
    <w:rPr>
      <w:rFonts w:ascii="Myriad Pro" w:hAnsi="Myriad Pro"/>
      <w:b/>
      <w:sz w:val="24"/>
    </w:rPr>
  </w:style>
  <w:style w:type="character" w:styleId="Hyperlink">
    <w:name w:val="Hyperlink"/>
    <w:uiPriority w:val="99"/>
    <w:unhideWhenUsed/>
    <w:rPr>
      <w:color w:val="0563C1"/>
      <w:u w:val="single"/>
    </w:rPr>
  </w:style>
  <w:style w:type="paragraph" w:customStyle="1" w:styleId="PressReleaseNotes">
    <w:name w:val="Press Release Notes"/>
    <w:basedOn w:val="JobTitle"/>
    <w:link w:val="PressReleaseNotesChar"/>
    <w:qFormat/>
  </w:style>
  <w:style w:type="paragraph" w:customStyle="1" w:styleId="PressReleaseNotesFurtherInfo">
    <w:name w:val="Press Release Notes/Further Info"/>
    <w:basedOn w:val="PressReleaseNotes"/>
    <w:link w:val="PressReleaseNotesFurtherInfoChar"/>
    <w:rPr>
      <w:b/>
    </w:rPr>
  </w:style>
  <w:style w:type="paragraph" w:customStyle="1" w:styleId="PressReleaseNotesFurtherInformation">
    <w:name w:val="Press Release Notes/Further Information"/>
    <w:basedOn w:val="PressReleaseNotesFurtherInfo"/>
    <w:qFormat/>
    <w:pPr>
      <w:spacing w:after="0"/>
    </w:pPr>
  </w:style>
  <w:style w:type="character" w:customStyle="1" w:styleId="NameChar">
    <w:name w:val="Name Char"/>
    <w:link w:val="Name"/>
    <w:rPr>
      <w:rFonts w:ascii="Myriad Pro" w:hAnsi="Myriad Pro"/>
      <w:sz w:val="20"/>
    </w:rPr>
  </w:style>
  <w:style w:type="character" w:customStyle="1" w:styleId="JobTitleChar">
    <w:name w:val="Job Title Char"/>
    <w:link w:val="JobTitle"/>
    <w:rPr>
      <w:rFonts w:ascii="Myriad Pro" w:hAnsi="Myriad Pro"/>
      <w:sz w:val="20"/>
    </w:rPr>
  </w:style>
  <w:style w:type="character" w:customStyle="1" w:styleId="PressReleaseNotesChar">
    <w:name w:val="Press Release Notes Char"/>
    <w:link w:val="PressReleaseNotes"/>
    <w:rPr>
      <w:rFonts w:ascii="Myriad Pro" w:hAnsi="Myriad Pro"/>
      <w:sz w:val="20"/>
    </w:rPr>
  </w:style>
  <w:style w:type="character" w:customStyle="1" w:styleId="PressReleaseNotesFurtherInfoChar">
    <w:name w:val="Press Release Notes/Further Info Char"/>
    <w:link w:val="PressReleaseNotesFurtherInfo"/>
    <w:rPr>
      <w:rFonts w:ascii="Myriad Pro" w:hAnsi="Myriad Pro"/>
      <w:b/>
      <w:sz w:val="20"/>
    </w:rPr>
  </w:style>
  <w:style w:type="paragraph" w:customStyle="1" w:styleId="PressReleaseTitle">
    <w:name w:val="Press Release Title"/>
    <w:basedOn w:val="Normal"/>
    <w:pPr>
      <w:spacing w:before="120" w:after="60"/>
      <w:jc w:val="center"/>
    </w:pPr>
    <w:rPr>
      <w:rFonts w:eastAsia="Times New Roman"/>
      <w:b/>
      <w:snapToGrid w:val="0"/>
      <w:sz w:val="36"/>
      <w:szCs w:val="20"/>
      <w:lang w:eastAsia="fr-FR"/>
    </w:rPr>
  </w:style>
  <w:style w:type="character" w:styleId="FollowedHyperlink">
    <w:name w:val="FollowedHyperlink"/>
    <w:uiPriority w:val="99"/>
    <w:semiHidden/>
    <w:unhideWhenUsed/>
    <w:rPr>
      <w:color w:val="954F72"/>
      <w:u w:val="single"/>
    </w:rPr>
  </w:style>
  <w:style w:type="paragraph" w:styleId="PlainText">
    <w:name w:val="Plain Text"/>
    <w:basedOn w:val="Normal"/>
    <w:link w:val="PlainTextChar"/>
    <w:uiPriority w:val="99"/>
    <w:semiHidden/>
    <w:unhideWhenUsed/>
    <w:pPr>
      <w:spacing w:after="0" w:line="240" w:lineRule="auto"/>
    </w:pPr>
    <w:rPr>
      <w:szCs w:val="21"/>
    </w:rPr>
  </w:style>
  <w:style w:type="character" w:customStyle="1" w:styleId="PlainTextChar">
    <w:name w:val="Plain Text Char"/>
    <w:link w:val="PlainText"/>
    <w:uiPriority w:val="99"/>
    <w:semiHidden/>
    <w:rPr>
      <w:rFonts w:ascii="Arial" w:hAnsi="Arial"/>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64956">
      <w:bodyDiv w:val="1"/>
      <w:marLeft w:val="0"/>
      <w:marRight w:val="0"/>
      <w:marTop w:val="0"/>
      <w:marBottom w:val="0"/>
      <w:divBdr>
        <w:top w:val="none" w:sz="0" w:space="0" w:color="auto"/>
        <w:left w:val="none" w:sz="0" w:space="0" w:color="auto"/>
        <w:bottom w:val="none" w:sz="0" w:space="0" w:color="auto"/>
        <w:right w:val="none" w:sz="0" w:space="0" w:color="auto"/>
      </w:divBdr>
    </w:div>
    <w:div w:id="113913814">
      <w:bodyDiv w:val="1"/>
      <w:marLeft w:val="0"/>
      <w:marRight w:val="0"/>
      <w:marTop w:val="0"/>
      <w:marBottom w:val="0"/>
      <w:divBdr>
        <w:top w:val="none" w:sz="0" w:space="0" w:color="auto"/>
        <w:left w:val="none" w:sz="0" w:space="0" w:color="auto"/>
        <w:bottom w:val="none" w:sz="0" w:space="0" w:color="auto"/>
        <w:right w:val="none" w:sz="0" w:space="0" w:color="auto"/>
      </w:divBdr>
    </w:div>
    <w:div w:id="166334907">
      <w:bodyDiv w:val="1"/>
      <w:marLeft w:val="0"/>
      <w:marRight w:val="0"/>
      <w:marTop w:val="0"/>
      <w:marBottom w:val="0"/>
      <w:divBdr>
        <w:top w:val="none" w:sz="0" w:space="0" w:color="auto"/>
        <w:left w:val="none" w:sz="0" w:space="0" w:color="auto"/>
        <w:bottom w:val="none" w:sz="0" w:space="0" w:color="auto"/>
        <w:right w:val="none" w:sz="0" w:space="0" w:color="auto"/>
      </w:divBdr>
    </w:div>
    <w:div w:id="485975734">
      <w:bodyDiv w:val="1"/>
      <w:marLeft w:val="0"/>
      <w:marRight w:val="0"/>
      <w:marTop w:val="0"/>
      <w:marBottom w:val="0"/>
      <w:divBdr>
        <w:top w:val="none" w:sz="0" w:space="0" w:color="auto"/>
        <w:left w:val="none" w:sz="0" w:space="0" w:color="auto"/>
        <w:bottom w:val="none" w:sz="0" w:space="0" w:color="auto"/>
        <w:right w:val="none" w:sz="0" w:space="0" w:color="auto"/>
      </w:divBdr>
    </w:div>
    <w:div w:id="601644863">
      <w:bodyDiv w:val="1"/>
      <w:marLeft w:val="0"/>
      <w:marRight w:val="0"/>
      <w:marTop w:val="0"/>
      <w:marBottom w:val="0"/>
      <w:divBdr>
        <w:top w:val="none" w:sz="0" w:space="0" w:color="auto"/>
        <w:left w:val="none" w:sz="0" w:space="0" w:color="auto"/>
        <w:bottom w:val="none" w:sz="0" w:space="0" w:color="auto"/>
        <w:right w:val="none" w:sz="0" w:space="0" w:color="auto"/>
      </w:divBdr>
    </w:div>
    <w:div w:id="1004818654">
      <w:bodyDiv w:val="1"/>
      <w:marLeft w:val="0"/>
      <w:marRight w:val="0"/>
      <w:marTop w:val="0"/>
      <w:marBottom w:val="0"/>
      <w:divBdr>
        <w:top w:val="none" w:sz="0" w:space="0" w:color="auto"/>
        <w:left w:val="none" w:sz="0" w:space="0" w:color="auto"/>
        <w:bottom w:val="none" w:sz="0" w:space="0" w:color="auto"/>
        <w:right w:val="none" w:sz="0" w:space="0" w:color="auto"/>
      </w:divBdr>
    </w:div>
    <w:div w:id="1137141960">
      <w:bodyDiv w:val="1"/>
      <w:marLeft w:val="0"/>
      <w:marRight w:val="0"/>
      <w:marTop w:val="0"/>
      <w:marBottom w:val="0"/>
      <w:divBdr>
        <w:top w:val="none" w:sz="0" w:space="0" w:color="auto"/>
        <w:left w:val="none" w:sz="0" w:space="0" w:color="auto"/>
        <w:bottom w:val="none" w:sz="0" w:space="0" w:color="auto"/>
        <w:right w:val="none" w:sz="0" w:space="0" w:color="auto"/>
      </w:divBdr>
    </w:div>
    <w:div w:id="1296448815">
      <w:bodyDiv w:val="1"/>
      <w:marLeft w:val="0"/>
      <w:marRight w:val="0"/>
      <w:marTop w:val="0"/>
      <w:marBottom w:val="0"/>
      <w:divBdr>
        <w:top w:val="none" w:sz="0" w:space="0" w:color="auto"/>
        <w:left w:val="none" w:sz="0" w:space="0" w:color="auto"/>
        <w:bottom w:val="none" w:sz="0" w:space="0" w:color="auto"/>
        <w:right w:val="none" w:sz="0" w:space="0" w:color="auto"/>
      </w:divBdr>
    </w:div>
    <w:div w:id="1540894243">
      <w:bodyDiv w:val="1"/>
      <w:marLeft w:val="0"/>
      <w:marRight w:val="0"/>
      <w:marTop w:val="0"/>
      <w:marBottom w:val="0"/>
      <w:divBdr>
        <w:top w:val="none" w:sz="0" w:space="0" w:color="auto"/>
        <w:left w:val="none" w:sz="0" w:space="0" w:color="auto"/>
        <w:bottom w:val="none" w:sz="0" w:space="0" w:color="auto"/>
        <w:right w:val="none" w:sz="0" w:space="0" w:color="auto"/>
      </w:divBdr>
    </w:div>
    <w:div w:id="1589994872">
      <w:bodyDiv w:val="1"/>
      <w:marLeft w:val="0"/>
      <w:marRight w:val="0"/>
      <w:marTop w:val="0"/>
      <w:marBottom w:val="0"/>
      <w:divBdr>
        <w:top w:val="none" w:sz="0" w:space="0" w:color="auto"/>
        <w:left w:val="none" w:sz="0" w:space="0" w:color="auto"/>
        <w:bottom w:val="none" w:sz="0" w:space="0" w:color="auto"/>
        <w:right w:val="none" w:sz="0" w:space="0" w:color="auto"/>
      </w:divBdr>
    </w:div>
    <w:div w:id="1712722888">
      <w:bodyDiv w:val="1"/>
      <w:marLeft w:val="0"/>
      <w:marRight w:val="0"/>
      <w:marTop w:val="0"/>
      <w:marBottom w:val="0"/>
      <w:divBdr>
        <w:top w:val="none" w:sz="0" w:space="0" w:color="auto"/>
        <w:left w:val="none" w:sz="0" w:space="0" w:color="auto"/>
        <w:bottom w:val="none" w:sz="0" w:space="0" w:color="auto"/>
        <w:right w:val="none" w:sz="0" w:space="0" w:color="auto"/>
      </w:divBdr>
    </w:div>
    <w:div w:id="1789198471">
      <w:bodyDiv w:val="1"/>
      <w:marLeft w:val="0"/>
      <w:marRight w:val="0"/>
      <w:marTop w:val="0"/>
      <w:marBottom w:val="0"/>
      <w:divBdr>
        <w:top w:val="none" w:sz="0" w:space="0" w:color="auto"/>
        <w:left w:val="none" w:sz="0" w:space="0" w:color="auto"/>
        <w:bottom w:val="none" w:sz="0" w:space="0" w:color="auto"/>
        <w:right w:val="none" w:sz="0" w:space="0" w:color="auto"/>
      </w:divBdr>
    </w:div>
    <w:div w:id="1884366300">
      <w:bodyDiv w:val="1"/>
      <w:marLeft w:val="0"/>
      <w:marRight w:val="0"/>
      <w:marTop w:val="0"/>
      <w:marBottom w:val="0"/>
      <w:divBdr>
        <w:top w:val="none" w:sz="0" w:space="0" w:color="auto"/>
        <w:left w:val="none" w:sz="0" w:space="0" w:color="auto"/>
        <w:bottom w:val="none" w:sz="0" w:space="0" w:color="auto"/>
        <w:right w:val="none" w:sz="0" w:space="0" w:color="auto"/>
      </w:divBdr>
    </w:div>
    <w:div w:id="1949656945">
      <w:bodyDiv w:val="1"/>
      <w:marLeft w:val="0"/>
      <w:marRight w:val="0"/>
      <w:marTop w:val="0"/>
      <w:marBottom w:val="0"/>
      <w:divBdr>
        <w:top w:val="none" w:sz="0" w:space="0" w:color="auto"/>
        <w:left w:val="none" w:sz="0" w:space="0" w:color="auto"/>
        <w:bottom w:val="none" w:sz="0" w:space="0" w:color="auto"/>
        <w:right w:val="none" w:sz="0" w:space="0" w:color="auto"/>
      </w:divBdr>
    </w:div>
    <w:div w:id="2001694516">
      <w:bodyDiv w:val="1"/>
      <w:marLeft w:val="0"/>
      <w:marRight w:val="0"/>
      <w:marTop w:val="0"/>
      <w:marBottom w:val="0"/>
      <w:divBdr>
        <w:top w:val="none" w:sz="0" w:space="0" w:color="auto"/>
        <w:left w:val="none" w:sz="0" w:space="0" w:color="auto"/>
        <w:bottom w:val="none" w:sz="0" w:space="0" w:color="auto"/>
        <w:right w:val="none" w:sz="0" w:space="0" w:color="auto"/>
      </w:divBdr>
    </w:div>
    <w:div w:id="2120102778">
      <w:bodyDiv w:val="1"/>
      <w:marLeft w:val="0"/>
      <w:marRight w:val="0"/>
      <w:marTop w:val="0"/>
      <w:marBottom w:val="0"/>
      <w:divBdr>
        <w:top w:val="none" w:sz="0" w:space="0" w:color="auto"/>
        <w:left w:val="none" w:sz="0" w:space="0" w:color="auto"/>
        <w:bottom w:val="none" w:sz="0" w:space="0" w:color="auto"/>
        <w:right w:val="none" w:sz="0" w:space="0" w:color="auto"/>
      </w:divBdr>
    </w:div>
    <w:div w:id="213944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qdfrequencyproducts.com" TargetMode="External"/><Relationship Id="rId13" Type="http://schemas.openxmlformats.org/officeDocument/2006/relationships/hyperlink" Target="https://goo.gl/K99X8U" TargetMode="External"/><Relationship Id="rId18" Type="http://schemas.openxmlformats.org/officeDocument/2006/relationships/hyperlink" Target="http://www.iqdfrequencyproducts.com/contact/" TargetMode="External"/><Relationship Id="rId26" Type="http://schemas.openxmlformats.org/officeDocument/2006/relationships/hyperlink" Target="https://twitter.com/iqdfrequency" TargetMode="External"/><Relationship Id="rId3" Type="http://schemas.openxmlformats.org/officeDocument/2006/relationships/styles" Target="styles.xml"/><Relationship Id="rId21" Type="http://schemas.openxmlformats.org/officeDocument/2006/relationships/hyperlink" Target="mailto:rebecca.long@iqdfrequencyproducts.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goo.gl/nfeG2b" TargetMode="External"/><Relationship Id="rId17" Type="http://schemas.openxmlformats.org/officeDocument/2006/relationships/hyperlink" Target="https://goo.gl/JdgBNn" TargetMode="External"/><Relationship Id="rId25" Type="http://schemas.openxmlformats.org/officeDocument/2006/relationships/image" Target="media/image2.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goo.gl/TLDUtc" TargetMode="External"/><Relationship Id="rId20" Type="http://schemas.openxmlformats.org/officeDocument/2006/relationships/hyperlink" Target="https://goo.gl/gQqvnu"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o.gl/8cHFC5" TargetMode="External"/><Relationship Id="rId24" Type="http://schemas.openxmlformats.org/officeDocument/2006/relationships/hyperlink" Target="http://www.facebook.com/IQDFrequencyProducts"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oo.gl/DMCEJh" TargetMode="External"/><Relationship Id="rId23" Type="http://schemas.openxmlformats.org/officeDocument/2006/relationships/image" Target="media/image1.png"/><Relationship Id="rId28" Type="http://schemas.openxmlformats.org/officeDocument/2006/relationships/hyperlink" Target="http://www.linkedin.com/company/iqd-frequency-products-ltd" TargetMode="External"/><Relationship Id="rId10" Type="http://schemas.openxmlformats.org/officeDocument/2006/relationships/hyperlink" Target="https://goo.gl/adpiQv" TargetMode="External"/><Relationship Id="rId19" Type="http://schemas.openxmlformats.org/officeDocument/2006/relationships/hyperlink" Target="https://goo.gl/xJUfn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goo.gl/nZrujU" TargetMode="External"/><Relationship Id="rId14" Type="http://schemas.openxmlformats.org/officeDocument/2006/relationships/hyperlink" Target="https://goo.gl/dydnw4" TargetMode="External"/><Relationship Id="rId22" Type="http://schemas.openxmlformats.org/officeDocument/2006/relationships/hyperlink" Target="http://www.iqdfrequencyproducts.com/" TargetMode="External"/><Relationship Id="rId27" Type="http://schemas.openxmlformats.org/officeDocument/2006/relationships/image" Target="media/image3.jpeg"/><Relationship Id="rId30" Type="http://schemas.openxmlformats.org/officeDocument/2006/relationships/hyperlink" Target="https://plus.google.com/115636882866960685149/posts"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1320-EDA6-46E1-8383-68D0679A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3856</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4523</CharactersWithSpaces>
  <SharedDoc>false</SharedDoc>
  <HLinks>
    <vt:vector size="114" baseType="variant">
      <vt:variant>
        <vt:i4>262152</vt:i4>
      </vt:variant>
      <vt:variant>
        <vt:i4>54</vt:i4>
      </vt:variant>
      <vt:variant>
        <vt:i4>0</vt:i4>
      </vt:variant>
      <vt:variant>
        <vt:i4>5</vt:i4>
      </vt:variant>
      <vt:variant>
        <vt:lpwstr>https://plus.google.com/115636882866960685149/posts</vt:lpwstr>
      </vt:variant>
      <vt:variant>
        <vt:lpwstr>115636882866960685149/posts</vt:lpwstr>
      </vt:variant>
      <vt:variant>
        <vt:i4>7274603</vt:i4>
      </vt:variant>
      <vt:variant>
        <vt:i4>51</vt:i4>
      </vt:variant>
      <vt:variant>
        <vt:i4>0</vt:i4>
      </vt:variant>
      <vt:variant>
        <vt:i4>5</vt:i4>
      </vt:variant>
      <vt:variant>
        <vt:lpwstr>http://www.linkedin.com/company/iqd-frequency-products-ltd</vt:lpwstr>
      </vt:variant>
      <vt:variant>
        <vt:lpwstr/>
      </vt:variant>
      <vt:variant>
        <vt:i4>589917</vt:i4>
      </vt:variant>
      <vt:variant>
        <vt:i4>48</vt:i4>
      </vt:variant>
      <vt:variant>
        <vt:i4>0</vt:i4>
      </vt:variant>
      <vt:variant>
        <vt:i4>5</vt:i4>
      </vt:variant>
      <vt:variant>
        <vt:lpwstr>https://twitter.com/iqdfrequency</vt:lpwstr>
      </vt:variant>
      <vt:variant>
        <vt:lpwstr/>
      </vt:variant>
      <vt:variant>
        <vt:i4>5963848</vt:i4>
      </vt:variant>
      <vt:variant>
        <vt:i4>45</vt:i4>
      </vt:variant>
      <vt:variant>
        <vt:i4>0</vt:i4>
      </vt:variant>
      <vt:variant>
        <vt:i4>5</vt:i4>
      </vt:variant>
      <vt:variant>
        <vt:lpwstr>http://www.facebook.com/IQDFrequencyProducts</vt:lpwstr>
      </vt:variant>
      <vt:variant>
        <vt:lpwstr/>
      </vt:variant>
      <vt:variant>
        <vt:i4>5439560</vt:i4>
      </vt:variant>
      <vt:variant>
        <vt:i4>42</vt:i4>
      </vt:variant>
      <vt:variant>
        <vt:i4>0</vt:i4>
      </vt:variant>
      <vt:variant>
        <vt:i4>5</vt:i4>
      </vt:variant>
      <vt:variant>
        <vt:lpwstr>http://www.iqdfrequencyproducts.com/</vt:lpwstr>
      </vt:variant>
      <vt:variant>
        <vt:lpwstr/>
      </vt:variant>
      <vt:variant>
        <vt:i4>7929939</vt:i4>
      </vt:variant>
      <vt:variant>
        <vt:i4>39</vt:i4>
      </vt:variant>
      <vt:variant>
        <vt:i4>0</vt:i4>
      </vt:variant>
      <vt:variant>
        <vt:i4>5</vt:i4>
      </vt:variant>
      <vt:variant>
        <vt:lpwstr>mailto:Carly-Rose.Gray@iqdfrequencyproducts.com</vt:lpwstr>
      </vt:variant>
      <vt:variant>
        <vt:lpwstr/>
      </vt:variant>
      <vt:variant>
        <vt:i4>5439560</vt:i4>
      </vt:variant>
      <vt:variant>
        <vt:i4>36</vt:i4>
      </vt:variant>
      <vt:variant>
        <vt:i4>0</vt:i4>
      </vt:variant>
      <vt:variant>
        <vt:i4>5</vt:i4>
      </vt:variant>
      <vt:variant>
        <vt:lpwstr>http://www.iqdfrequencyproducts.com/</vt:lpwstr>
      </vt:variant>
      <vt:variant>
        <vt:lpwstr/>
      </vt:variant>
      <vt:variant>
        <vt:i4>5111881</vt:i4>
      </vt:variant>
      <vt:variant>
        <vt:i4>33</vt:i4>
      </vt:variant>
      <vt:variant>
        <vt:i4>0</vt:i4>
      </vt:variant>
      <vt:variant>
        <vt:i4>5</vt:i4>
      </vt:variant>
      <vt:variant>
        <vt:lpwstr>http://www.iqdfrequencyproducts.com/distributors/</vt:lpwstr>
      </vt:variant>
      <vt:variant>
        <vt:lpwstr/>
      </vt:variant>
      <vt:variant>
        <vt:i4>262224</vt:i4>
      </vt:variant>
      <vt:variant>
        <vt:i4>30</vt:i4>
      </vt:variant>
      <vt:variant>
        <vt:i4>0</vt:i4>
      </vt:variant>
      <vt:variant>
        <vt:i4>5</vt:i4>
      </vt:variant>
      <vt:variant>
        <vt:lpwstr>http://www.iqdfrequencyproducts.com/contact/</vt:lpwstr>
      </vt:variant>
      <vt:variant>
        <vt:lpwstr/>
      </vt:variant>
      <vt:variant>
        <vt:i4>3604601</vt:i4>
      </vt:variant>
      <vt:variant>
        <vt:i4>27</vt:i4>
      </vt:variant>
      <vt:variant>
        <vt:i4>0</vt:i4>
      </vt:variant>
      <vt:variant>
        <vt:i4>5</vt:i4>
      </vt:variant>
      <vt:variant>
        <vt:lpwstr>http://www.iqdfrequencyproducts.com/products/search/?type=rubidium-oscillators</vt:lpwstr>
      </vt:variant>
      <vt:variant>
        <vt:lpwstr/>
      </vt:variant>
      <vt:variant>
        <vt:i4>3670078</vt:i4>
      </vt:variant>
      <vt:variant>
        <vt:i4>24</vt:i4>
      </vt:variant>
      <vt:variant>
        <vt:i4>0</vt:i4>
      </vt:variant>
      <vt:variant>
        <vt:i4>5</vt:i4>
      </vt:variant>
      <vt:variant>
        <vt:lpwstr>http://www.iqdfrequencyproducts.com/products/search/?type=gps-disciplined-ocxos</vt:lpwstr>
      </vt:variant>
      <vt:variant>
        <vt:lpwstr/>
      </vt:variant>
      <vt:variant>
        <vt:i4>4063282</vt:i4>
      </vt:variant>
      <vt:variant>
        <vt:i4>21</vt:i4>
      </vt:variant>
      <vt:variant>
        <vt:i4>0</vt:i4>
      </vt:variant>
      <vt:variant>
        <vt:i4>5</vt:i4>
      </vt:variant>
      <vt:variant>
        <vt:lpwstr>http://www.iqdfrequencyproducts.com/products/search/?type=ocxo</vt:lpwstr>
      </vt:variant>
      <vt:variant>
        <vt:lpwstr/>
      </vt:variant>
      <vt:variant>
        <vt:i4>4063273</vt:i4>
      </vt:variant>
      <vt:variant>
        <vt:i4>18</vt:i4>
      </vt:variant>
      <vt:variant>
        <vt:i4>0</vt:i4>
      </vt:variant>
      <vt:variant>
        <vt:i4>5</vt:i4>
      </vt:variant>
      <vt:variant>
        <vt:lpwstr>http://www.iqdfrequencyproducts.com/products/search/?type=tcxos</vt:lpwstr>
      </vt:variant>
      <vt:variant>
        <vt:lpwstr/>
      </vt:variant>
      <vt:variant>
        <vt:i4>4063275</vt:i4>
      </vt:variant>
      <vt:variant>
        <vt:i4>15</vt:i4>
      </vt:variant>
      <vt:variant>
        <vt:i4>0</vt:i4>
      </vt:variant>
      <vt:variant>
        <vt:i4>5</vt:i4>
      </vt:variant>
      <vt:variant>
        <vt:lpwstr>http://www.iqdfrequencyproducts.com/products/search/?type=vcxo</vt:lpwstr>
      </vt:variant>
      <vt:variant>
        <vt:lpwstr/>
      </vt:variant>
      <vt:variant>
        <vt:i4>8061041</vt:i4>
      </vt:variant>
      <vt:variant>
        <vt:i4>12</vt:i4>
      </vt:variant>
      <vt:variant>
        <vt:i4>0</vt:i4>
      </vt:variant>
      <vt:variant>
        <vt:i4>5</vt:i4>
      </vt:variant>
      <vt:variant>
        <vt:lpwstr>http://www.iqdfrequencyproducts.com/products/search/?type=crystal-clock-oscillator&amp;include%5B%5D=smd&amp;include%5B%5D=thru-hole&amp;model=&amp;product-features=aec-q200-qualified%7Cts16949-release&amp;package=&amp;frequency=&amp;frequency-uom=MHz&amp;frequency-stability=&amp;temperature-range=&amp;output=&amp;voltage=</vt:lpwstr>
      </vt:variant>
      <vt:variant>
        <vt:lpwstr/>
      </vt:variant>
      <vt:variant>
        <vt:i4>8061036</vt:i4>
      </vt:variant>
      <vt:variant>
        <vt:i4>9</vt:i4>
      </vt:variant>
      <vt:variant>
        <vt:i4>0</vt:i4>
      </vt:variant>
      <vt:variant>
        <vt:i4>5</vt:i4>
      </vt:variant>
      <vt:variant>
        <vt:lpwstr>http://www.iqdfrequencyproducts.com/products/search/?type=quartz-crystal&amp;include%5B%5D=smd&amp;include%5B%5D=thru-hole&amp;model=&amp;product-features=aec-q200-qualified%7Cts16949-release&amp;package=&amp;frequency=&amp;frequency-uom=MHz&amp;frequency-tolerence=&amp;frequency-stability=&amp;temperature-range=</vt:lpwstr>
      </vt:variant>
      <vt:variant>
        <vt:lpwstr/>
      </vt:variant>
      <vt:variant>
        <vt:i4>2949166</vt:i4>
      </vt:variant>
      <vt:variant>
        <vt:i4>6</vt:i4>
      </vt:variant>
      <vt:variant>
        <vt:i4>0</vt:i4>
      </vt:variant>
      <vt:variant>
        <vt:i4>5</vt:i4>
      </vt:variant>
      <vt:variant>
        <vt:lpwstr>http://www.iqdfrequencyproducts.com/products/search/?type=crystal-clock-oscillator</vt:lpwstr>
      </vt:variant>
      <vt:variant>
        <vt:lpwstr/>
      </vt:variant>
      <vt:variant>
        <vt:i4>5046284</vt:i4>
      </vt:variant>
      <vt:variant>
        <vt:i4>3</vt:i4>
      </vt:variant>
      <vt:variant>
        <vt:i4>0</vt:i4>
      </vt:variant>
      <vt:variant>
        <vt:i4>5</vt:i4>
      </vt:variant>
      <vt:variant>
        <vt:lpwstr>http://www.iqdfrequencyproducts.com/products/search/?type=quartz-crystal</vt:lpwstr>
      </vt:variant>
      <vt:variant>
        <vt:lpwstr/>
      </vt:variant>
      <vt:variant>
        <vt:i4>5439560</vt:i4>
      </vt:variant>
      <vt:variant>
        <vt:i4>0</vt:i4>
      </vt:variant>
      <vt:variant>
        <vt:i4>0</vt:i4>
      </vt:variant>
      <vt:variant>
        <vt:i4>5</vt:i4>
      </vt:variant>
      <vt:variant>
        <vt:lpwstr>http://www.iqdfrequencyproducts.com/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Fear</dc:creator>
  <cp:keywords/>
  <dc:description/>
  <cp:lastModifiedBy>rebecca.long</cp:lastModifiedBy>
  <cp:revision>2</cp:revision>
  <cp:lastPrinted>2015-08-21T16:09:00Z</cp:lastPrinted>
  <dcterms:created xsi:type="dcterms:W3CDTF">2020-10-22T10:48:00Z</dcterms:created>
  <dcterms:modified xsi:type="dcterms:W3CDTF">2020-10-22T10:48:00Z</dcterms:modified>
</cp:coreProperties>
</file>